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7F0FC">
      <w:pPr>
        <w:jc w:val="center"/>
        <w:outlineLvl w:val="0"/>
        <w:rPr>
          <w:rFonts w:hint="eastAsia" w:ascii="方正小标宋简体" w:eastAsia="方正小标宋简体"/>
          <w:color w:val="000000"/>
          <w:sz w:val="36"/>
          <w:szCs w:val="36"/>
          <w:lang w:val="en-US" w:eastAsia="zh-CN"/>
        </w:rPr>
      </w:pPr>
      <w:r>
        <w:rPr>
          <w:rFonts w:hint="eastAsia" w:ascii="方正小标宋简体" w:eastAsia="方正小标宋简体"/>
          <w:color w:val="000000"/>
          <w:sz w:val="36"/>
          <w:szCs w:val="36"/>
          <w:lang w:val="en-US" w:eastAsia="zh-CN"/>
        </w:rPr>
        <w:t>2026级大数据与会计专业人才培养方案</w:t>
      </w:r>
    </w:p>
    <w:p w14:paraId="38B011D4">
      <w:pPr>
        <w:spacing w:line="520" w:lineRule="exact"/>
        <w:outlineLvl w:val="0"/>
        <w:rPr>
          <w:rFonts w:ascii="黑体" w:hAnsi="黑体" w:eastAsia="黑体"/>
          <w:color w:val="000000"/>
          <w:sz w:val="28"/>
          <w:szCs w:val="28"/>
        </w:rPr>
      </w:pPr>
      <w:r>
        <w:rPr>
          <w:rFonts w:ascii="黑体" w:hAnsi="黑体" w:eastAsia="黑体"/>
          <w:color w:val="000000"/>
          <w:sz w:val="28"/>
          <w:szCs w:val="28"/>
        </w:rPr>
        <w:t xml:space="preserve">一、专业名称及代码    </w:t>
      </w:r>
    </w:p>
    <w:p w14:paraId="4D10DF9E">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专业名称：大数据与会计</w:t>
      </w:r>
    </w:p>
    <w:p w14:paraId="647F443A">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专业代码：530302</w:t>
      </w:r>
    </w:p>
    <w:p w14:paraId="05184809">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cs="楷体"/>
          <w:b/>
          <w:bCs/>
          <w:sz w:val="28"/>
          <w:szCs w:val="28"/>
          <w:highlight w:val="none"/>
          <w:lang w:eastAsia="zh-CN"/>
        </w:rPr>
      </w:pPr>
      <w:r>
        <w:rPr>
          <w:rFonts w:hint="eastAsia" w:ascii="楷体" w:hAnsi="楷体" w:eastAsia="楷体" w:cs="楷体"/>
          <w:b/>
          <w:bCs/>
          <w:sz w:val="28"/>
          <w:szCs w:val="28"/>
          <w:highlight w:val="none"/>
          <w:lang w:eastAsia="zh-CN"/>
        </w:rPr>
        <w:t>办学层次：高起专</w:t>
      </w:r>
    </w:p>
    <w:p w14:paraId="3BCF49C1">
      <w:pPr>
        <w:spacing w:line="520" w:lineRule="exact"/>
        <w:outlineLvl w:val="0"/>
        <w:rPr>
          <w:rFonts w:ascii="楷体" w:hAnsi="楷体" w:eastAsia="楷体"/>
          <w:color w:val="000000"/>
          <w:sz w:val="24"/>
          <w:szCs w:val="28"/>
        </w:rPr>
      </w:pPr>
      <w:r>
        <w:rPr>
          <w:rFonts w:ascii="黑体" w:hAnsi="黑体" w:eastAsia="黑体"/>
          <w:color w:val="000000"/>
          <w:sz w:val="28"/>
          <w:szCs w:val="28"/>
        </w:rPr>
        <w:t>二、入学要求</w:t>
      </w:r>
    </w:p>
    <w:p w14:paraId="0C210CBE">
      <w:pPr>
        <w:spacing w:before="240"/>
        <w:ind w:firstLine="560" w:firstLineChars="200"/>
        <w:outlineLvl w:val="1"/>
        <w:rPr>
          <w:rFonts w:ascii="楷体" w:hAnsi="楷体" w:eastAsia="楷体"/>
          <w:color w:val="000000"/>
          <w:sz w:val="28"/>
          <w:szCs w:val="28"/>
        </w:rPr>
      </w:pPr>
      <w:r>
        <w:rPr>
          <w:rFonts w:hint="eastAsia" w:ascii="楷体" w:hAnsi="楷体" w:eastAsia="楷体"/>
          <w:color w:val="000000"/>
          <w:sz w:val="28"/>
          <w:szCs w:val="28"/>
        </w:rPr>
        <w:t>高中阶段教育毕业生或具有同等学力并通过成人高考正式录取者。</w:t>
      </w:r>
    </w:p>
    <w:p w14:paraId="2F42A2E2">
      <w:pPr>
        <w:spacing w:line="520" w:lineRule="exact"/>
        <w:outlineLvl w:val="0"/>
        <w:rPr>
          <w:rFonts w:ascii="仿宋" w:hAnsi="仿宋" w:eastAsia="仿宋"/>
          <w:b/>
          <w:color w:val="000000"/>
          <w:sz w:val="24"/>
        </w:rPr>
      </w:pPr>
      <w:r>
        <w:rPr>
          <w:rFonts w:ascii="黑体" w:hAnsi="黑体" w:eastAsia="黑体"/>
          <w:color w:val="000000"/>
          <w:sz w:val="28"/>
          <w:szCs w:val="28"/>
        </w:rPr>
        <w:t>三、修业年限</w:t>
      </w:r>
    </w:p>
    <w:p w14:paraId="188DA3B6">
      <w:pPr>
        <w:spacing w:before="240"/>
        <w:ind w:firstLine="560" w:firstLineChars="200"/>
        <w:outlineLvl w:val="1"/>
        <w:rPr>
          <w:rFonts w:ascii="楷体" w:hAnsi="楷体" w:eastAsia="楷体"/>
          <w:color w:val="000000"/>
          <w:sz w:val="28"/>
          <w:szCs w:val="28"/>
        </w:rPr>
      </w:pPr>
      <w:r>
        <w:rPr>
          <w:rFonts w:hint="eastAsia" w:ascii="楷体" w:hAnsi="楷体" w:eastAsia="楷体"/>
          <w:color w:val="000000"/>
          <w:sz w:val="28"/>
          <w:szCs w:val="28"/>
        </w:rPr>
        <w:t>最低修业年限 2.5 年，最高修业年限不超过 5 年。</w:t>
      </w:r>
    </w:p>
    <w:p w14:paraId="14C3FC65">
      <w:pPr>
        <w:outlineLvl w:val="0"/>
        <w:rPr>
          <w:rFonts w:ascii="黑体" w:hAnsi="黑体" w:eastAsia="黑体"/>
          <w:color w:val="000000"/>
          <w:sz w:val="28"/>
          <w:szCs w:val="28"/>
        </w:rPr>
      </w:pPr>
      <w:r>
        <w:rPr>
          <w:rFonts w:hint="eastAsia" w:ascii="黑体" w:hAnsi="黑体" w:eastAsia="黑体"/>
          <w:color w:val="000000"/>
          <w:sz w:val="28"/>
          <w:szCs w:val="28"/>
        </w:rPr>
        <w:t>四</w:t>
      </w:r>
      <w:r>
        <w:rPr>
          <w:rFonts w:ascii="黑体" w:hAnsi="黑体" w:eastAsia="黑体"/>
          <w:color w:val="000000"/>
          <w:sz w:val="28"/>
          <w:szCs w:val="28"/>
        </w:rPr>
        <w:t>、</w:t>
      </w:r>
      <w:r>
        <w:rPr>
          <w:rFonts w:hint="eastAsia" w:ascii="黑体" w:hAnsi="黑体" w:eastAsia="黑体"/>
          <w:color w:val="000000"/>
          <w:sz w:val="28"/>
          <w:szCs w:val="28"/>
        </w:rPr>
        <w:t>培养目标与培养规格</w:t>
      </w:r>
    </w:p>
    <w:p w14:paraId="54070A2D">
      <w:pPr>
        <w:spacing w:before="240"/>
        <w:outlineLvl w:val="1"/>
        <w:rPr>
          <w:rFonts w:ascii="楷体" w:hAnsi="楷体" w:eastAsia="楷体"/>
          <w:color w:val="000000"/>
          <w:sz w:val="28"/>
          <w:szCs w:val="28"/>
        </w:rPr>
      </w:pPr>
      <w:r>
        <w:rPr>
          <w:rFonts w:hint="eastAsia" w:ascii="楷体" w:hAnsi="楷体" w:eastAsia="楷体"/>
          <w:color w:val="000000"/>
          <w:sz w:val="28"/>
          <w:szCs w:val="28"/>
        </w:rPr>
        <w:t>（一）培养目标</w:t>
      </w:r>
    </w:p>
    <w:p w14:paraId="0E077673">
      <w:pPr>
        <w:spacing w:line="360" w:lineRule="auto"/>
        <w:ind w:firstLine="481"/>
        <w:rPr>
          <w:rFonts w:ascii="楷体" w:hAnsi="楷体" w:eastAsia="楷体"/>
          <w:color w:val="000000"/>
          <w:sz w:val="18"/>
          <w:szCs w:val="18"/>
        </w:rPr>
      </w:pPr>
      <w:r>
        <w:rPr>
          <w:rFonts w:hint="eastAsia" w:ascii="仿宋_GB2312" w:hAnsi="宋体" w:eastAsia="仿宋_GB2312" w:cs="Times New Roman"/>
          <w:color w:val="000000"/>
          <w:szCs w:val="21"/>
          <w:lang w:eastAsia="zh-CN"/>
        </w:rPr>
        <w:t>本专业结合区域经济社会发展对人才的需求，对接温州地区五大支柱产业和十大战略新兴产业，依托区域制造业和现代服务业等行业，与温州会计学会、会计中介机构等合作，培养理想信念坚定，德、智、体、美、劳全面发展，具有一定的科学文化水平，良好的人文素养、职业道德和创新意识，精益求精的工匠精神，较强的就业能力和可持续发展的能力，掌握本专业知识和技术技能，面向智能财务数据分析与管理、大数据审计、数字财税应用与管理等方向，能从事共享财务、企业审计、税务会计、企业内部风险管理等工作，具有创新意识、创业精神和创业能力的高素质技术技能型专门人才。</w:t>
      </w:r>
    </w:p>
    <w:p w14:paraId="1849A953">
      <w:pPr>
        <w:spacing w:before="240"/>
        <w:outlineLvl w:val="1"/>
        <w:rPr>
          <w:rFonts w:ascii="楷体" w:hAnsi="楷体" w:eastAsia="楷体"/>
          <w:color w:val="000000"/>
          <w:sz w:val="28"/>
          <w:szCs w:val="28"/>
        </w:rPr>
      </w:pPr>
      <w:r>
        <w:rPr>
          <w:rFonts w:hint="eastAsia" w:ascii="楷体" w:hAnsi="楷体" w:eastAsia="楷体"/>
          <w:color w:val="000000"/>
          <w:sz w:val="28"/>
          <w:szCs w:val="28"/>
        </w:rPr>
        <w:t>（二）培养规格</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6854"/>
      </w:tblGrid>
      <w:tr w14:paraId="5D442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5D5A269A">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知识结构</w:t>
            </w:r>
          </w:p>
        </w:tc>
        <w:tc>
          <w:tcPr>
            <w:tcW w:w="6854" w:type="dxa"/>
          </w:tcPr>
          <w:p w14:paraId="24B4BC96">
            <w:pPr>
              <w:spacing w:line="288" w:lineRule="auto"/>
              <w:jc w:val="left"/>
              <w:rPr>
                <w:rFonts w:hint="eastAsia" w:ascii="仿宋" w:hAnsi="仿宋" w:eastAsia="仿宋" w:cs="仿宋"/>
                <w:sz w:val="21"/>
                <w:szCs w:val="21"/>
              </w:rPr>
            </w:pPr>
            <w:r>
              <w:rPr>
                <w:rFonts w:hint="eastAsia" w:ascii="仿宋" w:hAnsi="仿宋" w:eastAsia="仿宋" w:cs="仿宋"/>
                <w:sz w:val="21"/>
                <w:szCs w:val="21"/>
              </w:rPr>
              <w:t>（1）掌握应用高等数学、实用英语、计算机基础等公共文化基础知识；</w:t>
            </w:r>
          </w:p>
          <w:p w14:paraId="0C8C792B">
            <w:pPr>
              <w:spacing w:line="288" w:lineRule="auto"/>
              <w:jc w:val="left"/>
              <w:rPr>
                <w:rFonts w:hint="eastAsia" w:ascii="仿宋" w:hAnsi="仿宋" w:eastAsia="仿宋" w:cs="仿宋"/>
                <w:sz w:val="21"/>
                <w:szCs w:val="21"/>
              </w:rPr>
            </w:pPr>
            <w:r>
              <w:rPr>
                <w:rFonts w:hint="eastAsia" w:ascii="仿宋" w:hAnsi="仿宋" w:eastAsia="仿宋" w:cs="仿宋"/>
                <w:sz w:val="21"/>
                <w:szCs w:val="21"/>
              </w:rPr>
              <w:t>（2）掌握经济学基础、经济法基础、会计核算原理、税法理论和纳税申报等岗位基础知识；</w:t>
            </w:r>
          </w:p>
          <w:p w14:paraId="4AE80755">
            <w:pPr>
              <w:spacing w:line="288" w:lineRule="auto"/>
              <w:jc w:val="left"/>
              <w:rPr>
                <w:rFonts w:hint="eastAsia" w:ascii="仿宋" w:hAnsi="仿宋" w:eastAsia="仿宋" w:cs="仿宋"/>
                <w:sz w:val="21"/>
                <w:szCs w:val="21"/>
              </w:rPr>
            </w:pPr>
            <w:r>
              <w:rPr>
                <w:rFonts w:hint="eastAsia" w:ascii="仿宋" w:hAnsi="仿宋" w:eastAsia="仿宋" w:cs="仿宋"/>
                <w:sz w:val="21"/>
                <w:szCs w:val="21"/>
              </w:rPr>
              <w:t>（3）掌握会计核算、管理会计的相关知识和技能；</w:t>
            </w:r>
          </w:p>
          <w:p w14:paraId="403AD572">
            <w:pPr>
              <w:spacing w:line="288" w:lineRule="auto"/>
              <w:jc w:val="left"/>
              <w:rPr>
                <w:rFonts w:hint="eastAsia" w:ascii="仿宋" w:hAnsi="仿宋" w:eastAsia="仿宋" w:cs="仿宋"/>
                <w:sz w:val="21"/>
                <w:szCs w:val="21"/>
              </w:rPr>
            </w:pPr>
            <w:r>
              <w:rPr>
                <w:rFonts w:hint="eastAsia" w:ascii="仿宋" w:hAnsi="仿宋" w:eastAsia="仿宋" w:cs="仿宋"/>
                <w:sz w:val="21"/>
                <w:szCs w:val="21"/>
              </w:rPr>
              <w:t>（4）掌握运用智慧化税控系统进行税费计算和申报的知识；</w:t>
            </w:r>
          </w:p>
          <w:p w14:paraId="583B5D95">
            <w:pPr>
              <w:spacing w:line="288" w:lineRule="auto"/>
              <w:jc w:val="left"/>
              <w:rPr>
                <w:rFonts w:hint="eastAsia" w:ascii="仿宋" w:hAnsi="仿宋" w:eastAsia="仿宋" w:cs="仿宋"/>
                <w:sz w:val="21"/>
                <w:szCs w:val="21"/>
              </w:rPr>
            </w:pPr>
            <w:r>
              <w:rPr>
                <w:rFonts w:hint="eastAsia" w:ascii="仿宋" w:hAnsi="仿宋" w:eastAsia="仿宋" w:cs="仿宋"/>
                <w:sz w:val="21"/>
                <w:szCs w:val="21"/>
              </w:rPr>
              <w:t>（5）掌握智能会计平台、会计信息系统和财务机器人操作业务财务的知识；</w:t>
            </w:r>
          </w:p>
          <w:p w14:paraId="7FD3D45E">
            <w:pPr>
              <w:spacing w:line="288" w:lineRule="auto"/>
              <w:jc w:val="left"/>
              <w:rPr>
                <w:rFonts w:hint="eastAsia" w:ascii="仿宋" w:hAnsi="仿宋" w:eastAsia="仿宋" w:cs="仿宋"/>
                <w:sz w:val="21"/>
                <w:szCs w:val="21"/>
              </w:rPr>
            </w:pPr>
            <w:r>
              <w:rPr>
                <w:rFonts w:hint="eastAsia" w:ascii="仿宋" w:hAnsi="仿宋" w:eastAsia="仿宋" w:cs="仿宋"/>
                <w:sz w:val="21"/>
                <w:szCs w:val="21"/>
              </w:rPr>
              <w:t>（6）掌握企业纳税筹划和税务风险控制等知识；</w:t>
            </w:r>
          </w:p>
          <w:p w14:paraId="2C0437AE">
            <w:pPr>
              <w:spacing w:line="288" w:lineRule="auto"/>
              <w:jc w:val="left"/>
              <w:rPr>
                <w:rFonts w:hint="eastAsia" w:ascii="仿宋" w:hAnsi="仿宋" w:eastAsia="仿宋" w:cs="仿宋"/>
                <w:color w:val="000000"/>
                <w:sz w:val="21"/>
                <w:szCs w:val="21"/>
              </w:rPr>
            </w:pPr>
            <w:r>
              <w:rPr>
                <w:rFonts w:hint="eastAsia" w:ascii="仿宋" w:hAnsi="仿宋" w:eastAsia="仿宋" w:cs="仿宋"/>
                <w:sz w:val="21"/>
                <w:szCs w:val="21"/>
              </w:rPr>
              <w:t>（7）掌握运用现代化办公系统、网络技术和大数据处理技术和基础数据处理工具处理财务税务业务的知识；</w:t>
            </w:r>
          </w:p>
        </w:tc>
      </w:tr>
      <w:tr w14:paraId="47DAF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701746AF">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能力结构</w:t>
            </w:r>
          </w:p>
        </w:tc>
        <w:tc>
          <w:tcPr>
            <w:tcW w:w="6854" w:type="dxa"/>
          </w:tcPr>
          <w:p w14:paraId="634CB03B">
            <w:pPr>
              <w:spacing w:line="288" w:lineRule="auto"/>
              <w:jc w:val="left"/>
              <w:rPr>
                <w:rFonts w:hint="eastAsia" w:ascii="仿宋" w:hAnsi="仿宋" w:eastAsia="仿宋" w:cs="仿宋"/>
                <w:sz w:val="21"/>
                <w:szCs w:val="21"/>
              </w:rPr>
            </w:pPr>
            <w:r>
              <w:rPr>
                <w:rFonts w:hint="eastAsia" w:ascii="仿宋" w:hAnsi="仿宋" w:eastAsia="仿宋" w:cs="仿宋"/>
                <w:sz w:val="21"/>
                <w:szCs w:val="21"/>
              </w:rPr>
              <w:t>（1）具有企业会计核算能力，运用管理会计的基本方法和工具进行资金管理、成本管理、营运管理、绩效管理的基本能力；</w:t>
            </w:r>
          </w:p>
          <w:p w14:paraId="29F733CC">
            <w:pPr>
              <w:spacing w:line="288" w:lineRule="auto"/>
              <w:jc w:val="left"/>
              <w:rPr>
                <w:rFonts w:hint="eastAsia" w:ascii="仿宋" w:hAnsi="仿宋" w:eastAsia="仿宋" w:cs="仿宋"/>
                <w:sz w:val="21"/>
                <w:szCs w:val="21"/>
              </w:rPr>
            </w:pPr>
            <w:r>
              <w:rPr>
                <w:rFonts w:hint="eastAsia" w:ascii="仿宋" w:hAnsi="仿宋" w:eastAsia="仿宋" w:cs="仿宋"/>
                <w:sz w:val="21"/>
                <w:szCs w:val="21"/>
              </w:rPr>
              <w:t>（2）具有熟练应用智慧化税控系统进行各种税费计算与申报的能力；</w:t>
            </w:r>
          </w:p>
          <w:p w14:paraId="43402464">
            <w:pPr>
              <w:spacing w:line="288" w:lineRule="auto"/>
              <w:jc w:val="left"/>
              <w:rPr>
                <w:rFonts w:hint="eastAsia" w:ascii="仿宋" w:hAnsi="仿宋" w:eastAsia="仿宋" w:cs="仿宋"/>
                <w:sz w:val="21"/>
                <w:szCs w:val="21"/>
              </w:rPr>
            </w:pPr>
            <w:r>
              <w:rPr>
                <w:rFonts w:hint="eastAsia" w:ascii="仿宋" w:hAnsi="仿宋" w:eastAsia="仿宋" w:cs="仿宋"/>
                <w:sz w:val="21"/>
                <w:szCs w:val="21"/>
              </w:rPr>
              <w:t>（3）具备较强的纳税筹划和税务风险控制的能力；</w:t>
            </w:r>
          </w:p>
          <w:p w14:paraId="58891EA6">
            <w:pPr>
              <w:spacing w:line="288" w:lineRule="auto"/>
              <w:jc w:val="left"/>
              <w:rPr>
                <w:rFonts w:hint="eastAsia" w:ascii="仿宋" w:hAnsi="仿宋" w:eastAsia="仿宋" w:cs="仿宋"/>
                <w:sz w:val="21"/>
                <w:szCs w:val="21"/>
              </w:rPr>
            </w:pPr>
            <w:r>
              <w:rPr>
                <w:rFonts w:hint="eastAsia" w:ascii="仿宋" w:hAnsi="仿宋" w:eastAsia="仿宋" w:cs="仿宋"/>
                <w:sz w:val="21"/>
                <w:szCs w:val="21"/>
              </w:rPr>
              <w:t>（4）具有运用智能会计平台、财务共享服务平台、会计信息系统进行业务财务处理的能力；</w:t>
            </w:r>
          </w:p>
          <w:p w14:paraId="081786D0">
            <w:pPr>
              <w:spacing w:line="288" w:lineRule="auto"/>
              <w:jc w:val="left"/>
              <w:rPr>
                <w:rFonts w:hint="eastAsia" w:ascii="仿宋" w:hAnsi="仿宋" w:eastAsia="仿宋" w:cs="仿宋"/>
                <w:sz w:val="21"/>
                <w:szCs w:val="21"/>
              </w:rPr>
            </w:pPr>
            <w:r>
              <w:rPr>
                <w:rFonts w:hint="eastAsia" w:ascii="仿宋" w:hAnsi="仿宋" w:eastAsia="仿宋" w:cs="仿宋"/>
                <w:sz w:val="21"/>
                <w:szCs w:val="21"/>
              </w:rPr>
              <w:t>（5）具有评价内部控制、识别企业风险、实施内部控制测试的能力；</w:t>
            </w:r>
          </w:p>
          <w:p w14:paraId="1C7235E2">
            <w:pPr>
              <w:spacing w:line="288" w:lineRule="auto"/>
              <w:jc w:val="left"/>
              <w:rPr>
                <w:rFonts w:hint="eastAsia" w:ascii="仿宋" w:hAnsi="仿宋" w:eastAsia="仿宋" w:cs="仿宋"/>
                <w:sz w:val="21"/>
                <w:szCs w:val="21"/>
              </w:rPr>
            </w:pPr>
            <w:r>
              <w:rPr>
                <w:rFonts w:hint="eastAsia" w:ascii="仿宋" w:hAnsi="仿宋" w:eastAsia="仿宋" w:cs="仿宋"/>
                <w:sz w:val="21"/>
                <w:szCs w:val="21"/>
              </w:rPr>
              <w:t>（6）具有撰写财务与成本分析报告的能力，能应用大数据技术进行业务、财务数据收集、清洗、整理、挖掘和可视化输出；</w:t>
            </w:r>
          </w:p>
          <w:p w14:paraId="64337C20">
            <w:pPr>
              <w:spacing w:line="288" w:lineRule="auto"/>
              <w:jc w:val="left"/>
              <w:rPr>
                <w:rFonts w:hint="eastAsia" w:ascii="仿宋" w:hAnsi="仿宋" w:eastAsia="仿宋" w:cs="仿宋"/>
                <w:sz w:val="21"/>
                <w:szCs w:val="21"/>
              </w:rPr>
            </w:pPr>
            <w:r>
              <w:rPr>
                <w:rFonts w:hint="eastAsia" w:ascii="仿宋" w:hAnsi="仿宋" w:eastAsia="仿宋" w:cs="仿宋"/>
                <w:sz w:val="21"/>
                <w:szCs w:val="21"/>
              </w:rPr>
              <w:t>（7）具有运用财务机器人的基础开发技能和日常维护功能，实现企业业务流程自动化的相关知识。</w:t>
            </w:r>
          </w:p>
          <w:p w14:paraId="1F1449B1">
            <w:pPr>
              <w:spacing w:line="288" w:lineRule="auto"/>
              <w:jc w:val="left"/>
              <w:rPr>
                <w:rFonts w:hint="eastAsia" w:ascii="仿宋" w:hAnsi="仿宋" w:eastAsia="仿宋" w:cs="仿宋"/>
                <w:sz w:val="21"/>
                <w:szCs w:val="21"/>
              </w:rPr>
            </w:pPr>
            <w:r>
              <w:rPr>
                <w:rFonts w:hint="eastAsia" w:ascii="仿宋" w:hAnsi="仿宋" w:eastAsia="仿宋" w:cs="仿宋"/>
                <w:sz w:val="21"/>
                <w:szCs w:val="21"/>
              </w:rPr>
              <w:t>（8）具有探究学习、终身学习和可持续发展的能力。</w:t>
            </w:r>
          </w:p>
        </w:tc>
      </w:tr>
      <w:tr w14:paraId="60481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36DCF7C6">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职业素养</w:t>
            </w:r>
          </w:p>
        </w:tc>
        <w:tc>
          <w:tcPr>
            <w:tcW w:w="6854" w:type="dxa"/>
          </w:tcPr>
          <w:p w14:paraId="7145F985">
            <w:pPr>
              <w:spacing w:line="288" w:lineRule="auto"/>
              <w:jc w:val="left"/>
              <w:rPr>
                <w:rFonts w:hint="eastAsia" w:ascii="仿宋" w:hAnsi="仿宋" w:eastAsia="仿宋" w:cs="仿宋"/>
                <w:sz w:val="21"/>
                <w:szCs w:val="21"/>
              </w:rPr>
            </w:pPr>
            <w:r>
              <w:rPr>
                <w:rFonts w:hint="eastAsia" w:ascii="仿宋" w:hAnsi="仿宋" w:eastAsia="仿宋" w:cs="仿宋"/>
                <w:sz w:val="21"/>
                <w:szCs w:val="21"/>
              </w:rPr>
              <w:t>（1）具有正确的世界观、人生观、价值观。坚决拥护中国共产党领导，树立中国特色社会主义共同理想，践行社会主义核心价值观，具有深厚的爱国情感、国家认同感、中华民族自豪感；崇尚宪法、遵守法律、遵规守纪；具有社会责任感和参与意识。</w:t>
            </w:r>
          </w:p>
          <w:p w14:paraId="4755ABD4">
            <w:pPr>
              <w:spacing w:line="288" w:lineRule="auto"/>
              <w:jc w:val="left"/>
              <w:rPr>
                <w:rFonts w:hint="eastAsia" w:ascii="仿宋" w:hAnsi="仿宋" w:eastAsia="仿宋" w:cs="仿宋"/>
                <w:sz w:val="21"/>
                <w:szCs w:val="21"/>
              </w:rPr>
            </w:pPr>
            <w:r>
              <w:rPr>
                <w:rFonts w:hint="eastAsia" w:ascii="仿宋" w:hAnsi="仿宋" w:eastAsia="仿宋" w:cs="仿宋"/>
                <w:sz w:val="21"/>
                <w:szCs w:val="21"/>
              </w:rPr>
              <w:t>（2）具有良好的职业道德和职业素养。崇德向善、诚实守信、爱岗敬业，具有精益求精的工匠精神；尊重劳动、热爱劳动，具有较强的实践能力；具有质量意识、绿色环保意识、安全意识、信息素养、创新精神；具有较强的集体意识和团队合作精神，能够进行有效的人际沟通和协作，与社会、自然和谐共处；具有职业生涯规划意识。</w:t>
            </w:r>
          </w:p>
          <w:p w14:paraId="20717ECB">
            <w:pPr>
              <w:spacing w:line="360" w:lineRule="auto"/>
              <w:rPr>
                <w:rFonts w:hint="eastAsia" w:ascii="仿宋" w:hAnsi="仿宋" w:eastAsia="仿宋" w:cs="仿宋"/>
                <w:color w:val="000000"/>
                <w:sz w:val="21"/>
                <w:szCs w:val="21"/>
              </w:rPr>
            </w:pPr>
            <w:r>
              <w:rPr>
                <w:rFonts w:hint="eastAsia" w:ascii="仿宋" w:hAnsi="仿宋" w:eastAsia="仿宋" w:cs="仿宋"/>
                <w:sz w:val="21"/>
                <w:szCs w:val="21"/>
              </w:rPr>
              <w:t>（3）具有良好的身心素质和人文素养。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tc>
      </w:tr>
    </w:tbl>
    <w:p w14:paraId="624C86E0">
      <w:pPr>
        <w:spacing w:before="240"/>
        <w:outlineLvl w:val="0"/>
        <w:rPr>
          <w:rFonts w:ascii="黑体" w:hAnsi="黑体" w:eastAsia="黑体"/>
          <w:color w:val="000000"/>
          <w:sz w:val="28"/>
          <w:szCs w:val="28"/>
        </w:rPr>
      </w:pPr>
    </w:p>
    <w:p w14:paraId="387F22FA">
      <w:pPr>
        <w:spacing w:before="240"/>
        <w:outlineLvl w:val="0"/>
        <w:rPr>
          <w:rFonts w:ascii="黑体" w:hAnsi="黑体" w:eastAsia="黑体"/>
          <w:color w:val="000000"/>
          <w:sz w:val="28"/>
          <w:szCs w:val="28"/>
        </w:rPr>
      </w:pPr>
      <w:r>
        <w:rPr>
          <w:rFonts w:hint="eastAsia" w:ascii="黑体" w:hAnsi="黑体" w:eastAsia="黑体"/>
          <w:color w:val="000000"/>
          <w:sz w:val="28"/>
          <w:szCs w:val="28"/>
        </w:rPr>
        <w:t>五</w:t>
      </w:r>
      <w:r>
        <w:rPr>
          <w:rFonts w:ascii="黑体" w:hAnsi="黑体" w:eastAsia="黑体"/>
          <w:color w:val="000000"/>
          <w:sz w:val="28"/>
          <w:szCs w:val="28"/>
        </w:rPr>
        <w:t>、</w:t>
      </w:r>
      <w:r>
        <w:rPr>
          <w:rFonts w:hint="eastAsia" w:ascii="黑体" w:hAnsi="黑体" w:eastAsia="黑体"/>
          <w:color w:val="000000"/>
          <w:sz w:val="28"/>
          <w:szCs w:val="28"/>
        </w:rPr>
        <w:t>课程设置及要求</w:t>
      </w:r>
    </w:p>
    <w:p w14:paraId="2CD3FC09">
      <w:pPr>
        <w:spacing w:before="240"/>
        <w:outlineLvl w:val="1"/>
        <w:rPr>
          <w:rFonts w:ascii="楷体" w:hAnsi="楷体" w:eastAsia="楷体"/>
          <w:color w:val="000000"/>
          <w:sz w:val="28"/>
          <w:szCs w:val="28"/>
        </w:rPr>
      </w:pPr>
      <w:r>
        <w:rPr>
          <w:rFonts w:ascii="楷体" w:hAnsi="楷体" w:eastAsia="楷体"/>
          <w:color w:val="000000"/>
          <w:sz w:val="28"/>
          <w:szCs w:val="28"/>
        </w:rPr>
        <w:t>（</w:t>
      </w:r>
      <w:r>
        <w:rPr>
          <w:rFonts w:hint="eastAsia" w:ascii="楷体" w:hAnsi="楷体" w:eastAsia="楷体"/>
          <w:color w:val="000000"/>
          <w:sz w:val="28"/>
          <w:szCs w:val="28"/>
        </w:rPr>
        <w:t>一</w:t>
      </w:r>
      <w:r>
        <w:rPr>
          <w:rFonts w:ascii="楷体" w:hAnsi="楷体" w:eastAsia="楷体"/>
          <w:color w:val="000000"/>
          <w:sz w:val="28"/>
          <w:szCs w:val="28"/>
        </w:rPr>
        <w:t>）</w:t>
      </w:r>
      <w:r>
        <w:rPr>
          <w:rFonts w:hint="eastAsia" w:ascii="楷体" w:hAnsi="楷体" w:eastAsia="楷体"/>
          <w:color w:val="000000"/>
          <w:sz w:val="28"/>
          <w:szCs w:val="28"/>
        </w:rPr>
        <w:t>课程设置与简介</w:t>
      </w:r>
    </w:p>
    <w:p w14:paraId="78FE1EB6">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1.公共基础课程</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2395"/>
        <w:gridCol w:w="1015"/>
      </w:tblGrid>
      <w:tr w14:paraId="4635E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78F97423">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课程名称</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BB99AB3">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课程目标</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47A9A845">
            <w:pPr>
              <w:spacing w:before="240" w:line="360" w:lineRule="auto"/>
              <w:jc w:val="center"/>
              <w:rPr>
                <w:rFonts w:ascii="楷体" w:hAnsi="楷体" w:eastAsia="楷体"/>
                <w:color w:val="000000"/>
                <w:sz w:val="24"/>
              </w:rPr>
            </w:pPr>
            <w:r>
              <w:rPr>
                <w:rFonts w:ascii="楷体" w:hAnsi="楷体" w:eastAsia="楷体" w:cs="楷体"/>
                <w:color w:val="000000"/>
                <w:sz w:val="24"/>
                <w:lang w:bidi="ar"/>
              </w:rPr>
              <w:t>主要内容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08F49498">
            <w:pPr>
              <w:spacing w:before="240" w:line="360" w:lineRule="auto"/>
              <w:jc w:val="center"/>
              <w:rPr>
                <w:rFonts w:ascii="楷体" w:hAnsi="楷体" w:eastAsia="楷体"/>
                <w:color w:val="000000"/>
                <w:sz w:val="24"/>
              </w:rPr>
            </w:pPr>
            <w:r>
              <w:rPr>
                <w:rFonts w:ascii="楷体" w:hAnsi="楷体" w:eastAsia="楷体" w:cs="楷体"/>
                <w:color w:val="000000"/>
                <w:sz w:val="24"/>
                <w:lang w:bidi="ar"/>
              </w:rPr>
              <w:t>教学要求</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76FB5964">
            <w:pPr>
              <w:spacing w:before="240" w:line="360" w:lineRule="auto"/>
              <w:jc w:val="center"/>
              <w:rPr>
                <w:rFonts w:ascii="楷体" w:hAnsi="楷体" w:eastAsia="楷体"/>
                <w:color w:val="000000"/>
                <w:sz w:val="24"/>
              </w:rPr>
            </w:pPr>
            <w:r>
              <w:rPr>
                <w:rFonts w:ascii="楷体" w:hAnsi="楷体" w:eastAsia="楷体" w:cs="楷体"/>
                <w:color w:val="000000"/>
                <w:sz w:val="24"/>
                <w:lang w:bidi="ar"/>
              </w:rPr>
              <w:t>备注</w:t>
            </w:r>
          </w:p>
        </w:tc>
      </w:tr>
      <w:tr w14:paraId="442BC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9EBFD72">
            <w:pPr>
              <w:spacing w:before="240" w:line="360" w:lineRule="auto"/>
              <w:jc w:val="center"/>
              <w:rPr>
                <w:rFonts w:ascii="楷体" w:hAnsi="楷体" w:eastAsia="楷体"/>
                <w:color w:val="000000"/>
                <w:sz w:val="24"/>
              </w:rPr>
            </w:pPr>
            <w:r>
              <w:rPr>
                <w:rFonts w:hint="eastAsia" w:ascii="楷体" w:hAnsi="楷体" w:eastAsia="楷体"/>
                <w:color w:val="000000"/>
                <w:sz w:val="24"/>
              </w:rPr>
              <w:t>毛泽东思想和中国特色社会主义理论体系概论</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FA09721">
            <w:pPr>
              <w:spacing w:before="240"/>
              <w:jc w:val="center"/>
              <w:rPr>
                <w:rFonts w:hint="eastAsia"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eastAsia="zh-CN"/>
              </w:rPr>
              <w:t>.</w:t>
            </w:r>
            <w:r>
              <w:rPr>
                <w:rFonts w:hint="eastAsia" w:ascii="楷体" w:hAnsi="楷体" w:eastAsia="楷体"/>
                <w:color w:val="000000"/>
                <w:sz w:val="24"/>
              </w:rPr>
              <w:t>了解马克思主义中国化的历史；2</w:t>
            </w:r>
            <w:r>
              <w:rPr>
                <w:rFonts w:hint="eastAsia" w:ascii="楷体" w:hAnsi="楷体" w:eastAsia="楷体"/>
                <w:color w:val="000000"/>
                <w:sz w:val="24"/>
                <w:lang w:val="en-US" w:eastAsia="zh-CN"/>
              </w:rPr>
              <w:t>.</w:t>
            </w:r>
            <w:r>
              <w:rPr>
                <w:rFonts w:hint="eastAsia" w:ascii="楷体" w:hAnsi="楷体" w:eastAsia="楷体"/>
                <w:color w:val="000000"/>
                <w:sz w:val="24"/>
              </w:rPr>
              <w:t>掌握马克思主义基本立场观点和方法；3</w:t>
            </w:r>
            <w:r>
              <w:rPr>
                <w:rFonts w:hint="eastAsia" w:ascii="楷体" w:hAnsi="楷体" w:eastAsia="楷体"/>
                <w:color w:val="000000"/>
                <w:sz w:val="24"/>
                <w:lang w:val="en-US" w:eastAsia="zh-CN"/>
              </w:rPr>
              <w:t>.</w:t>
            </w:r>
            <w:r>
              <w:rPr>
                <w:rFonts w:hint="eastAsia" w:ascii="楷体" w:hAnsi="楷体" w:eastAsia="楷体"/>
                <w:color w:val="000000"/>
                <w:sz w:val="24"/>
              </w:rPr>
              <w:t>培养学生的社会责任感，具备社会主义建设合格接班人应有的政治素质、思想品德和相应能力。</w:t>
            </w:r>
          </w:p>
          <w:p w14:paraId="6329E351">
            <w:pPr>
              <w:spacing w:before="240"/>
              <w:jc w:val="center"/>
              <w:rPr>
                <w:szCs w:val="21"/>
              </w:rPr>
            </w:pP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D3CB5FD">
            <w:pPr>
              <w:spacing w:before="240"/>
              <w:jc w:val="center"/>
              <w:rPr>
                <w:szCs w:val="21"/>
              </w:rPr>
            </w:pPr>
            <w:r>
              <w:rPr>
                <w:rFonts w:hint="eastAsia" w:ascii="楷体" w:hAnsi="楷体" w:eastAsia="楷体"/>
                <w:color w:val="000000"/>
                <w:sz w:val="24"/>
              </w:rPr>
              <w:t>系统掌握马克思主义、毛泽东思想和中国特色社会主义理论体系理论及马克思主义中国化最新成果——习近平新时代中国特色社会主义思想，坚定建设中国特色社会主义的理想信念</w:t>
            </w:r>
            <w:r>
              <w:rPr>
                <w:rFonts w:hint="eastAsia" w:ascii="楷体" w:hAnsi="楷体" w:eastAsia="楷体"/>
                <w:color w:val="000000"/>
                <w:sz w:val="24"/>
                <w:lang w:eastAsia="zh-CN"/>
              </w:rPr>
              <w:t>。</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7CB4D170">
            <w:pPr>
              <w:spacing w:before="240"/>
              <w:jc w:val="center"/>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配备全国统编教材《毛泽东思想和中国特色社会主义理论体系概论》（20</w:t>
            </w:r>
            <w:r>
              <w:rPr>
                <w:rFonts w:hint="eastAsia" w:ascii="楷体" w:hAnsi="楷体" w:eastAsia="楷体"/>
                <w:color w:val="000000"/>
                <w:sz w:val="24"/>
                <w:lang w:val="en-US" w:eastAsia="zh-CN"/>
              </w:rPr>
              <w:t>23</w:t>
            </w:r>
            <w:r>
              <w:rPr>
                <w:rFonts w:hint="eastAsia" w:ascii="楷体" w:hAnsi="楷体" w:eastAsia="楷体"/>
                <w:color w:val="000000"/>
                <w:sz w:val="24"/>
              </w:rPr>
              <w:t>年修订版），高教出版社。2</w:t>
            </w:r>
            <w:r>
              <w:rPr>
                <w:rFonts w:hint="eastAsia" w:ascii="楷体" w:hAnsi="楷体" w:eastAsia="楷体"/>
                <w:color w:val="000000"/>
                <w:sz w:val="24"/>
                <w:lang w:val="en-US" w:eastAsia="zh-CN"/>
              </w:rPr>
              <w:t>.</w:t>
            </w:r>
            <w:r>
              <w:rPr>
                <w:rFonts w:hint="eastAsia" w:ascii="楷体" w:hAnsi="楷体" w:eastAsia="楷体"/>
                <w:color w:val="000000"/>
                <w:sz w:val="24"/>
              </w:rPr>
              <w:t>配备多媒体教室，提升信息化教学水平。3</w:t>
            </w:r>
            <w:r>
              <w:rPr>
                <w:rFonts w:hint="eastAsia" w:ascii="楷体" w:hAnsi="楷体" w:eastAsia="楷体"/>
                <w:color w:val="000000"/>
                <w:sz w:val="24"/>
                <w:lang w:val="en-US" w:eastAsia="zh-CN"/>
              </w:rPr>
              <w:t>.</w:t>
            </w:r>
            <w:r>
              <w:rPr>
                <w:rFonts w:hint="eastAsia" w:ascii="楷体" w:hAnsi="楷体" w:eastAsia="楷体"/>
                <w:color w:val="000000"/>
                <w:sz w:val="24"/>
              </w:rPr>
              <w:t>建设思政教学实践基地。</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75107D41">
            <w:pPr>
              <w:spacing w:line="360" w:lineRule="auto"/>
              <w:jc w:val="center"/>
              <w:rPr>
                <w:szCs w:val="21"/>
              </w:rPr>
            </w:pPr>
          </w:p>
        </w:tc>
      </w:tr>
      <w:tr w14:paraId="67344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3569BD4">
            <w:pPr>
              <w:spacing w:before="240" w:line="360" w:lineRule="auto"/>
              <w:jc w:val="center"/>
              <w:rPr>
                <w:rFonts w:ascii="楷体" w:hAnsi="楷体" w:eastAsia="楷体"/>
                <w:color w:val="000000"/>
                <w:sz w:val="28"/>
                <w:szCs w:val="28"/>
              </w:rPr>
            </w:pPr>
            <w:r>
              <w:rPr>
                <w:rFonts w:hint="eastAsia" w:ascii="楷体" w:hAnsi="楷体" w:eastAsia="楷体"/>
                <w:color w:val="000000"/>
                <w:sz w:val="24"/>
              </w:rPr>
              <w:t>思想道德与法治</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3ED22E91">
            <w:pPr>
              <w:spacing w:before="240"/>
              <w:jc w:val="center"/>
              <w:rPr>
                <w:szCs w:val="21"/>
              </w:rPr>
            </w:pPr>
            <w:r>
              <w:rPr>
                <w:rFonts w:hint="eastAsia" w:ascii="楷体" w:hAnsi="楷体" w:eastAsia="楷体"/>
                <w:color w:val="000000"/>
                <w:sz w:val="24"/>
              </w:rPr>
              <w:t>使学生能够尽快适应大学生活，积极投身道德实践，提高明辨是非善恶和自我修养的能力，做到尊法学法守法用法，成长为具备良好的思想道德素质和法律素养的高素质技能型人才。</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27206DF">
            <w:pPr>
              <w:spacing w:before="240"/>
              <w:jc w:val="center"/>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树立正确的人生观、价值观；2</w:t>
            </w:r>
            <w:r>
              <w:rPr>
                <w:rFonts w:hint="eastAsia" w:ascii="楷体" w:hAnsi="楷体" w:eastAsia="楷体"/>
                <w:color w:val="000000"/>
                <w:sz w:val="24"/>
                <w:lang w:val="en-US" w:eastAsia="zh-CN"/>
              </w:rPr>
              <w:t>.</w:t>
            </w:r>
            <w:r>
              <w:rPr>
                <w:rFonts w:hint="eastAsia" w:ascii="楷体" w:hAnsi="楷体" w:eastAsia="楷体"/>
                <w:color w:val="000000"/>
                <w:sz w:val="24"/>
              </w:rPr>
              <w:t>坚定理想信念；3</w:t>
            </w:r>
            <w:r>
              <w:rPr>
                <w:rFonts w:hint="eastAsia" w:ascii="楷体" w:hAnsi="楷体" w:eastAsia="楷体"/>
                <w:color w:val="000000"/>
                <w:sz w:val="24"/>
                <w:lang w:val="en-US" w:eastAsia="zh-CN"/>
              </w:rPr>
              <w:t>.</w:t>
            </w:r>
            <w:r>
              <w:rPr>
                <w:rFonts w:hint="eastAsia" w:ascii="楷体" w:hAnsi="楷体" w:eastAsia="楷体"/>
                <w:color w:val="000000"/>
                <w:sz w:val="24"/>
              </w:rPr>
              <w:t>弘扬中国精神，做忠诚的爱国者；4</w:t>
            </w:r>
            <w:r>
              <w:rPr>
                <w:rFonts w:hint="eastAsia" w:ascii="楷体" w:hAnsi="楷体" w:eastAsia="楷体"/>
                <w:color w:val="000000"/>
                <w:sz w:val="24"/>
                <w:lang w:val="en-US" w:eastAsia="zh-CN"/>
              </w:rPr>
              <w:t>.</w:t>
            </w:r>
            <w:r>
              <w:rPr>
                <w:rFonts w:hint="eastAsia" w:ascii="楷体" w:hAnsi="楷体" w:eastAsia="楷体"/>
                <w:color w:val="000000"/>
                <w:sz w:val="24"/>
              </w:rPr>
              <w:t>培育和践行社会主义核心价值观；5</w:t>
            </w:r>
            <w:r>
              <w:rPr>
                <w:rFonts w:hint="eastAsia" w:ascii="楷体" w:hAnsi="楷体" w:eastAsia="楷体"/>
                <w:color w:val="000000"/>
                <w:sz w:val="24"/>
                <w:lang w:val="en-US" w:eastAsia="zh-CN"/>
              </w:rPr>
              <w:t>.</w:t>
            </w:r>
            <w:r>
              <w:rPr>
                <w:rFonts w:hint="eastAsia" w:ascii="楷体" w:hAnsi="楷体" w:eastAsia="楷体"/>
                <w:color w:val="000000"/>
                <w:sz w:val="24"/>
              </w:rPr>
              <w:t>提升大学生的道德素质和法治素养。</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77A544A5">
            <w:pPr>
              <w:spacing w:before="240"/>
              <w:jc w:val="center"/>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具备一定的思想政治理论知识；2</w:t>
            </w:r>
            <w:r>
              <w:rPr>
                <w:rFonts w:hint="eastAsia" w:ascii="楷体" w:hAnsi="楷体" w:eastAsia="楷体"/>
                <w:color w:val="000000"/>
                <w:sz w:val="24"/>
                <w:lang w:val="en-US" w:eastAsia="zh-CN"/>
              </w:rPr>
              <w:t>.</w:t>
            </w:r>
            <w:r>
              <w:rPr>
                <w:rFonts w:hint="eastAsia" w:ascii="楷体" w:hAnsi="楷体" w:eastAsia="楷体"/>
                <w:color w:val="000000"/>
                <w:sz w:val="24"/>
              </w:rPr>
              <w:t>在世界观、人生观、价值观、道德观和法治观受到一定程度教育；3</w:t>
            </w:r>
            <w:r>
              <w:rPr>
                <w:rFonts w:hint="eastAsia" w:ascii="楷体" w:hAnsi="楷体" w:eastAsia="楷体"/>
                <w:color w:val="000000"/>
                <w:sz w:val="24"/>
                <w:lang w:val="en-US" w:eastAsia="zh-CN"/>
              </w:rPr>
              <w:t>.</w:t>
            </w:r>
            <w:r>
              <w:rPr>
                <w:rFonts w:hint="eastAsia" w:ascii="楷体" w:hAnsi="楷体" w:eastAsia="楷体"/>
                <w:color w:val="000000"/>
                <w:sz w:val="24"/>
              </w:rPr>
              <w:t>组织学生到校外实践基地进行参观考察，增强学生的社会实践体验。</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56547E20">
            <w:pPr>
              <w:spacing w:line="360" w:lineRule="auto"/>
              <w:jc w:val="center"/>
              <w:rPr>
                <w:szCs w:val="21"/>
              </w:rPr>
            </w:pPr>
          </w:p>
        </w:tc>
      </w:tr>
      <w:tr w14:paraId="6EEFB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305BD8CB">
            <w:pPr>
              <w:spacing w:before="60" w:after="60" w:line="360" w:lineRule="auto"/>
              <w:jc w:val="center"/>
              <w:rPr>
                <w:rFonts w:ascii="楷体" w:hAnsi="楷体" w:eastAsia="楷体"/>
                <w:color w:val="000000"/>
                <w:sz w:val="24"/>
              </w:rPr>
            </w:pPr>
            <w:r>
              <w:rPr>
                <w:rFonts w:ascii="楷体" w:hAnsi="楷体" w:eastAsia="楷体" w:cs="楷体"/>
                <w:color w:val="000000"/>
                <w:sz w:val="24"/>
                <w:lang w:bidi="ar"/>
              </w:rPr>
              <w:t>习近平新时代中国特色社会主义思想概论</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C790351">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系统掌握习近平新时代中国特色社会主义思想；2</w:t>
            </w:r>
            <w:r>
              <w:rPr>
                <w:rFonts w:hint="eastAsia" w:ascii="楷体" w:hAnsi="楷体" w:eastAsia="楷体"/>
                <w:color w:val="000000"/>
                <w:sz w:val="24"/>
                <w:lang w:val="en-US" w:eastAsia="zh-CN"/>
              </w:rPr>
              <w:t>.</w:t>
            </w:r>
            <w:r>
              <w:rPr>
                <w:rFonts w:hint="eastAsia" w:ascii="楷体" w:hAnsi="楷体" w:eastAsia="楷体"/>
                <w:color w:val="000000"/>
                <w:sz w:val="24"/>
              </w:rPr>
              <w:t>运用马克思主义立场、观点和方法认识、分析和解决问题；3</w:t>
            </w:r>
            <w:r>
              <w:rPr>
                <w:rFonts w:hint="eastAsia" w:ascii="楷体" w:hAnsi="楷体" w:eastAsia="楷体"/>
                <w:color w:val="000000"/>
                <w:sz w:val="24"/>
                <w:lang w:val="en-US" w:eastAsia="zh-CN"/>
              </w:rPr>
              <w:t>.</w:t>
            </w:r>
            <w:r>
              <w:rPr>
                <w:rFonts w:hint="eastAsia" w:ascii="楷体" w:hAnsi="楷体" w:eastAsia="楷体"/>
                <w:color w:val="000000"/>
                <w:sz w:val="24"/>
              </w:rPr>
              <w:t>领会“两个确立”，增强“四个意识”、坚定“四个自信”。</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426C840">
            <w:pPr>
              <w:spacing w:before="240"/>
              <w:jc w:val="center"/>
              <w:rPr>
                <w:rFonts w:ascii="楷体" w:hAnsi="楷体" w:eastAsia="楷体"/>
                <w:color w:val="000000"/>
                <w:sz w:val="24"/>
              </w:rPr>
            </w:pPr>
            <w:r>
              <w:rPr>
                <w:rFonts w:hint="eastAsia" w:ascii="楷体" w:hAnsi="楷体" w:eastAsia="楷体"/>
                <w:color w:val="000000"/>
                <w:sz w:val="24"/>
              </w:rPr>
              <w:t>习近平经济思想、习近平生态文明思想、习近平法治思想、习近平强军思想和习近平外交思想等内容。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64D29E5C">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配备全国统编教材《</w:t>
            </w:r>
            <w:r>
              <w:rPr>
                <w:rFonts w:hint="eastAsia" w:ascii="楷体" w:hAnsi="楷体" w:eastAsia="楷体"/>
                <w:color w:val="000000"/>
                <w:sz w:val="24"/>
                <w:lang w:eastAsia="zh-CN"/>
              </w:rPr>
              <w:t>习近平新时代中国特色社会主义思想概论</w:t>
            </w:r>
            <w:r>
              <w:rPr>
                <w:rFonts w:hint="eastAsia" w:ascii="楷体" w:hAnsi="楷体" w:eastAsia="楷体"/>
                <w:color w:val="000000"/>
                <w:sz w:val="24"/>
              </w:rPr>
              <w:t>》</w:t>
            </w:r>
            <w:r>
              <w:rPr>
                <w:rFonts w:hint="eastAsia" w:ascii="楷体" w:hAnsi="楷体" w:eastAsia="楷体"/>
                <w:color w:val="000000"/>
                <w:sz w:val="24"/>
                <w:lang w:eastAsia="zh-CN"/>
              </w:rPr>
              <w:t>，</w:t>
            </w:r>
            <w:r>
              <w:rPr>
                <w:rFonts w:hint="eastAsia" w:ascii="楷体" w:hAnsi="楷体" w:eastAsia="楷体"/>
                <w:color w:val="000000"/>
                <w:sz w:val="24"/>
              </w:rPr>
              <w:t>高教出版社。2</w:t>
            </w:r>
            <w:r>
              <w:rPr>
                <w:rFonts w:hint="eastAsia" w:ascii="楷体" w:hAnsi="楷体" w:eastAsia="楷体"/>
                <w:color w:val="000000"/>
                <w:sz w:val="24"/>
                <w:lang w:val="en-US" w:eastAsia="zh-CN"/>
              </w:rPr>
              <w:t>.</w:t>
            </w:r>
            <w:r>
              <w:rPr>
                <w:rFonts w:hint="eastAsia" w:ascii="楷体" w:hAnsi="楷体" w:eastAsia="楷体"/>
                <w:color w:val="000000"/>
                <w:sz w:val="24"/>
              </w:rPr>
              <w:t>配备多媒体教室，提升信息化教学水平。3</w:t>
            </w:r>
            <w:r>
              <w:rPr>
                <w:rFonts w:hint="eastAsia" w:ascii="楷体" w:hAnsi="楷体" w:eastAsia="楷体"/>
                <w:color w:val="000000"/>
                <w:sz w:val="24"/>
                <w:lang w:val="en-US" w:eastAsia="zh-CN"/>
              </w:rPr>
              <w:t>.</w:t>
            </w:r>
            <w:r>
              <w:rPr>
                <w:rFonts w:hint="eastAsia" w:ascii="楷体" w:hAnsi="楷体" w:eastAsia="楷体"/>
                <w:color w:val="000000"/>
                <w:sz w:val="24"/>
              </w:rPr>
              <w:t>建设实践教学基地。</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37BAC843">
            <w:pPr>
              <w:spacing w:line="360" w:lineRule="auto"/>
              <w:jc w:val="center"/>
              <w:rPr>
                <w:strike/>
                <w:szCs w:val="21"/>
              </w:rPr>
            </w:pPr>
          </w:p>
        </w:tc>
      </w:tr>
      <w:tr w14:paraId="19E68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397EF75">
            <w:pPr>
              <w:spacing w:before="60" w:after="60" w:line="360" w:lineRule="auto"/>
              <w:jc w:val="center"/>
              <w:rPr>
                <w:rFonts w:ascii="楷体" w:hAnsi="楷体" w:eastAsia="楷体"/>
                <w:color w:val="000000"/>
                <w:sz w:val="24"/>
              </w:rPr>
            </w:pPr>
            <w:r>
              <w:rPr>
                <w:rFonts w:ascii="楷体" w:hAnsi="楷体" w:eastAsia="楷体" w:cs="楷体"/>
                <w:color w:val="000000"/>
                <w:sz w:val="24"/>
                <w:lang w:bidi="ar"/>
              </w:rPr>
              <w:t>形势与政策教育（一～五）</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62FA99A">
            <w:pPr>
              <w:spacing w:before="240"/>
              <w:jc w:val="center"/>
              <w:rPr>
                <w:szCs w:val="21"/>
              </w:rPr>
            </w:pPr>
            <w:r>
              <w:rPr>
                <w:rFonts w:hint="eastAsia" w:ascii="楷体" w:hAnsi="楷体" w:eastAsia="楷体"/>
                <w:color w:val="000000"/>
                <w:sz w:val="24"/>
              </w:rPr>
              <w:t>1.引导青年学生正确认识世界和中国发展大势；2提高学生政治敏锐性和政策判别力，提升学生的综合素质，树立远大抱负，肩负时代责任和历史使命。</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62AF5F0">
            <w:pPr>
              <w:spacing w:before="240"/>
              <w:jc w:val="center"/>
              <w:rPr>
                <w:szCs w:val="21"/>
              </w:rPr>
            </w:pPr>
            <w:r>
              <w:rPr>
                <w:rFonts w:hint="eastAsia" w:ascii="楷体" w:hAnsi="楷体" w:eastAsia="楷体"/>
                <w:color w:val="000000"/>
                <w:sz w:val="24"/>
              </w:rPr>
              <w:t>1.培养观察形势和理解政策的正确立场、观点、方法；2.掌握新时代党和国家重大方针政策；3.我国社会发展形势、国际形势与对外政策。</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38513EAB">
            <w:pPr>
              <w:spacing w:before="240"/>
              <w:jc w:val="center"/>
              <w:rPr>
                <w:szCs w:val="21"/>
              </w:rPr>
            </w:pPr>
            <w:r>
              <w:rPr>
                <w:rFonts w:hint="eastAsia" w:ascii="楷体" w:hAnsi="楷体" w:eastAsia="楷体"/>
                <w:color w:val="000000"/>
                <w:sz w:val="24"/>
              </w:rPr>
              <w:t>1.教学内容即时更新，紧随国内国际形势和国家重大方针政策；2.配备多媒体教室，采用多种教学手段实施教学，提升教学效果。</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298B9A6E">
            <w:pPr>
              <w:spacing w:line="360" w:lineRule="auto"/>
              <w:jc w:val="center"/>
              <w:rPr>
                <w:szCs w:val="21"/>
              </w:rPr>
            </w:pPr>
          </w:p>
        </w:tc>
      </w:tr>
      <w:tr w14:paraId="51079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3DD82571">
            <w:pPr>
              <w:spacing w:before="240" w:line="360" w:lineRule="auto"/>
              <w:jc w:val="center"/>
              <w:rPr>
                <w:rFonts w:ascii="楷体" w:hAnsi="楷体" w:eastAsia="楷体"/>
                <w:color w:val="000000"/>
                <w:sz w:val="24"/>
              </w:rPr>
            </w:pPr>
            <w:r>
              <w:rPr>
                <w:rFonts w:hint="eastAsia" w:ascii="楷体" w:hAnsi="楷体" w:eastAsia="楷体"/>
                <w:color w:val="000000"/>
                <w:sz w:val="24"/>
              </w:rPr>
              <w:t>大学生心理健康教育</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EC73871">
            <w:pPr>
              <w:spacing w:before="240"/>
              <w:jc w:val="center"/>
              <w:rPr>
                <w:rFonts w:ascii="楷体" w:hAnsi="楷体" w:eastAsia="楷体"/>
                <w:color w:val="000000"/>
                <w:sz w:val="24"/>
              </w:rPr>
            </w:pPr>
            <w:r>
              <w:rPr>
                <w:rFonts w:hint="eastAsia" w:ascii="楷体" w:hAnsi="楷体" w:eastAsia="楷体"/>
                <w:color w:val="000000"/>
                <w:sz w:val="24"/>
              </w:rPr>
              <w:t>使学生了解心理健康基本知识，掌握基本的心理调适方法，帮助大学生树立心理健康意识，预防和缓解心理问题，优化心理品质，增强心理调适能力和社会生活的适应能力。</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243D71A">
            <w:pPr>
              <w:spacing w:before="240"/>
              <w:jc w:val="center"/>
              <w:rPr>
                <w:rFonts w:ascii="楷体" w:hAnsi="楷体" w:eastAsia="楷体"/>
                <w:color w:val="000000"/>
                <w:sz w:val="24"/>
              </w:rPr>
            </w:pPr>
            <w:r>
              <w:rPr>
                <w:rFonts w:hint="eastAsia" w:ascii="楷体" w:hAnsi="楷体" w:eastAsia="楷体"/>
                <w:color w:val="000000"/>
                <w:sz w:val="24"/>
              </w:rPr>
              <w:t>课程包括大学生心理健康概述、大学生自我意识发展、大学生良好人际关系的培养、大学生的恋爱与性心理等八个方面内容。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51012AC0">
            <w:pPr>
              <w:spacing w:before="240"/>
              <w:jc w:val="center"/>
              <w:rPr>
                <w:rFonts w:ascii="楷体" w:hAnsi="楷体" w:eastAsia="楷体"/>
                <w:color w:val="000000"/>
                <w:sz w:val="24"/>
              </w:rPr>
            </w:pPr>
            <w:r>
              <w:rPr>
                <w:rFonts w:hint="eastAsia" w:ascii="楷体" w:hAnsi="楷体" w:eastAsia="楷体"/>
                <w:color w:val="000000"/>
                <w:sz w:val="24"/>
              </w:rPr>
              <w:t>课程采用体验式教学法，线上线下相结合，充分利用网络教学平台资源和多种信息化手段，完成从体验、探究、疏导到转变的教学过程，达成学生的心理素质提升目标。</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35D2F20C">
            <w:pPr>
              <w:spacing w:before="240" w:line="360" w:lineRule="auto"/>
              <w:jc w:val="center"/>
              <w:rPr>
                <w:rFonts w:ascii="楷体" w:hAnsi="楷体" w:eastAsia="楷体"/>
                <w:color w:val="000000"/>
                <w:sz w:val="24"/>
              </w:rPr>
            </w:pPr>
          </w:p>
        </w:tc>
      </w:tr>
      <w:tr w14:paraId="3AC13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74597621">
            <w:pPr>
              <w:spacing w:before="240" w:line="360" w:lineRule="auto"/>
              <w:jc w:val="center"/>
              <w:rPr>
                <w:rFonts w:ascii="楷体" w:hAnsi="楷体" w:eastAsia="楷体"/>
                <w:color w:val="000000"/>
                <w:sz w:val="24"/>
              </w:rPr>
            </w:pPr>
            <w:r>
              <w:rPr>
                <w:rFonts w:hint="eastAsia" w:ascii="楷体" w:hAnsi="楷体" w:eastAsia="楷体"/>
                <w:color w:val="000000"/>
                <w:sz w:val="24"/>
              </w:rPr>
              <w:t>大学生创业基础</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FF33980">
            <w:pPr>
              <w:spacing w:before="240"/>
              <w:jc w:val="center"/>
              <w:rPr>
                <w:rFonts w:ascii="楷体" w:hAnsi="楷体" w:eastAsia="楷体"/>
                <w:color w:val="000000"/>
                <w:sz w:val="24"/>
              </w:rPr>
            </w:pPr>
            <w:r>
              <w:rPr>
                <w:rFonts w:hint="eastAsia" w:ascii="楷体" w:hAnsi="楷体" w:eastAsia="楷体"/>
                <w:color w:val="000000"/>
                <w:sz w:val="24"/>
              </w:rPr>
              <w:t>对学生的创业意识进行启发，指导，认识企业在社会经济中的作用，了解创办和经营企业基本知识、技能。</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7BD79490">
            <w:pPr>
              <w:spacing w:before="240"/>
              <w:jc w:val="center"/>
              <w:rPr>
                <w:rFonts w:ascii="楷体" w:hAnsi="楷体" w:eastAsia="楷体"/>
                <w:color w:val="000000"/>
                <w:sz w:val="24"/>
              </w:rPr>
            </w:pPr>
            <w:r>
              <w:rPr>
                <w:rFonts w:hint="eastAsia" w:ascii="楷体" w:hAnsi="楷体" w:eastAsia="楷体"/>
                <w:color w:val="000000"/>
                <w:sz w:val="24"/>
              </w:rPr>
              <w:t>本课程包括创业概述、创业精神与创业能力、温州人创业精神、创业准备、发现创业机会、创业方式及新技术应用、创业风险和小企业创办一般流程及实践模拟等八个方面内容。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24F9356A">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利用资源库和在线平台，结合实际，完成创意项目设计</w:t>
            </w:r>
            <w:r>
              <w:rPr>
                <w:rFonts w:hint="eastAsia" w:ascii="楷体" w:hAnsi="楷体" w:eastAsia="楷体"/>
                <w:color w:val="000000"/>
                <w:sz w:val="24"/>
                <w:lang w:eastAsia="zh-CN"/>
              </w:rPr>
              <w:t>。</w:t>
            </w:r>
            <w:r>
              <w:rPr>
                <w:rFonts w:hint="eastAsia" w:ascii="楷体" w:hAnsi="楷体" w:eastAsia="楷体"/>
                <w:color w:val="000000"/>
                <w:sz w:val="24"/>
              </w:rPr>
              <w:t>2</w:t>
            </w:r>
            <w:r>
              <w:rPr>
                <w:rFonts w:hint="eastAsia" w:ascii="楷体" w:hAnsi="楷体" w:eastAsia="楷体"/>
                <w:color w:val="000000"/>
                <w:sz w:val="24"/>
                <w:lang w:val="en-US" w:eastAsia="zh-CN"/>
              </w:rPr>
              <w:t>.</w:t>
            </w:r>
            <w:r>
              <w:rPr>
                <w:rFonts w:hint="eastAsia" w:ascii="楷体" w:hAnsi="楷体" w:eastAsia="楷体"/>
                <w:color w:val="000000"/>
                <w:sz w:val="24"/>
              </w:rPr>
              <w:t>邀请企业人员讲座，引导学生树立正确创业与就业观念</w:t>
            </w:r>
            <w:r>
              <w:rPr>
                <w:rFonts w:hint="eastAsia" w:ascii="楷体" w:hAnsi="楷体" w:eastAsia="楷体"/>
                <w:color w:val="000000"/>
                <w:sz w:val="24"/>
                <w:lang w:eastAsia="zh-CN"/>
              </w:rPr>
              <w:t>。</w:t>
            </w:r>
            <w:r>
              <w:rPr>
                <w:rFonts w:hint="eastAsia" w:ascii="楷体" w:hAnsi="楷体" w:eastAsia="楷体"/>
                <w:color w:val="000000"/>
                <w:sz w:val="24"/>
              </w:rPr>
              <w:t>3</w:t>
            </w:r>
            <w:r>
              <w:rPr>
                <w:rFonts w:hint="eastAsia" w:ascii="楷体" w:hAnsi="楷体" w:eastAsia="楷体"/>
                <w:color w:val="000000"/>
                <w:sz w:val="24"/>
                <w:lang w:val="en-US" w:eastAsia="zh-CN"/>
              </w:rPr>
              <w:t>.</w:t>
            </w:r>
            <w:r>
              <w:rPr>
                <w:rFonts w:hint="eastAsia" w:ascii="楷体" w:hAnsi="楷体" w:eastAsia="楷体"/>
                <w:color w:val="000000"/>
                <w:sz w:val="24"/>
              </w:rPr>
              <w:t>利用实践基地和创业实践活动，学生参与实景体验。</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5E78EA64">
            <w:pPr>
              <w:spacing w:before="240" w:line="360" w:lineRule="auto"/>
              <w:jc w:val="center"/>
              <w:rPr>
                <w:rFonts w:ascii="楷体" w:hAnsi="楷体" w:eastAsia="楷体"/>
                <w:color w:val="000000"/>
                <w:sz w:val="24"/>
              </w:rPr>
            </w:pPr>
          </w:p>
        </w:tc>
      </w:tr>
      <w:tr w14:paraId="10C8C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8915199">
            <w:pPr>
              <w:spacing w:before="240" w:line="360" w:lineRule="auto"/>
              <w:jc w:val="center"/>
              <w:rPr>
                <w:rFonts w:ascii="楷体" w:hAnsi="楷体" w:eastAsia="楷体"/>
                <w:color w:val="000000"/>
                <w:sz w:val="24"/>
              </w:rPr>
            </w:pPr>
            <w:r>
              <w:rPr>
                <w:rFonts w:hint="eastAsia" w:ascii="楷体" w:hAnsi="楷体" w:eastAsia="楷体"/>
                <w:color w:val="000000"/>
                <w:sz w:val="24"/>
              </w:rPr>
              <w:t>信息技术基础</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D17713D">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运用逻辑思维和计算方法，为专业服务，提高分析解决问题能力。2</w:t>
            </w:r>
            <w:r>
              <w:rPr>
                <w:rFonts w:hint="eastAsia" w:ascii="楷体" w:hAnsi="楷体" w:eastAsia="楷体"/>
                <w:color w:val="000000"/>
                <w:sz w:val="24"/>
                <w:lang w:val="en-US" w:eastAsia="zh-CN"/>
              </w:rPr>
              <w:t>.</w:t>
            </w:r>
            <w:r>
              <w:rPr>
                <w:rFonts w:hint="eastAsia" w:ascii="楷体" w:hAnsi="楷体" w:eastAsia="楷体"/>
                <w:color w:val="000000"/>
                <w:sz w:val="24"/>
              </w:rPr>
              <w:t>能够使用常用办公软件</w:t>
            </w:r>
            <w:r>
              <w:rPr>
                <w:rFonts w:hint="eastAsia" w:ascii="楷体" w:hAnsi="楷体" w:eastAsia="楷体"/>
                <w:color w:val="000000"/>
                <w:sz w:val="24"/>
                <w:lang w:eastAsia="zh-CN"/>
              </w:rPr>
              <w:t>。</w:t>
            </w:r>
            <w:r>
              <w:rPr>
                <w:rFonts w:hint="eastAsia" w:ascii="楷体" w:hAnsi="楷体" w:eastAsia="楷体"/>
                <w:color w:val="000000"/>
                <w:sz w:val="24"/>
              </w:rPr>
              <w:t>3</w:t>
            </w:r>
            <w:r>
              <w:rPr>
                <w:rFonts w:hint="eastAsia" w:ascii="楷体" w:hAnsi="楷体" w:eastAsia="楷体"/>
                <w:color w:val="000000"/>
                <w:sz w:val="24"/>
                <w:lang w:val="en-US" w:eastAsia="zh-CN"/>
              </w:rPr>
              <w:t>.</w:t>
            </w:r>
            <w:r>
              <w:rPr>
                <w:rFonts w:hint="eastAsia" w:ascii="楷体" w:hAnsi="楷体" w:eastAsia="楷体"/>
                <w:color w:val="000000"/>
                <w:sz w:val="24"/>
              </w:rPr>
              <w:t>了解数字化新技术</w:t>
            </w:r>
            <w:r>
              <w:rPr>
                <w:rFonts w:hint="eastAsia" w:ascii="楷体" w:hAnsi="楷体" w:eastAsia="楷体"/>
                <w:color w:val="000000"/>
                <w:sz w:val="24"/>
                <w:lang w:eastAsia="zh-CN"/>
              </w:rPr>
              <w:t>。</w:t>
            </w:r>
            <w:r>
              <w:rPr>
                <w:rFonts w:hint="eastAsia" w:ascii="楷体" w:hAnsi="楷体" w:eastAsia="楷体"/>
                <w:color w:val="000000"/>
                <w:sz w:val="24"/>
              </w:rPr>
              <w:t>4</w:t>
            </w:r>
            <w:r>
              <w:rPr>
                <w:rFonts w:hint="eastAsia" w:ascii="楷体" w:hAnsi="楷体" w:eastAsia="楷体"/>
                <w:color w:val="000000"/>
                <w:sz w:val="24"/>
                <w:lang w:val="en-US" w:eastAsia="zh-CN"/>
              </w:rPr>
              <w:t>.</w:t>
            </w:r>
            <w:r>
              <w:rPr>
                <w:rFonts w:hint="eastAsia" w:ascii="楷体" w:hAnsi="楷体" w:eastAsia="楷体"/>
                <w:color w:val="000000"/>
                <w:sz w:val="24"/>
              </w:rPr>
              <w:t>培养严谨、细致品质，提高自主学习、团队合作能力。</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C6B84DC">
            <w:pPr>
              <w:spacing w:before="240"/>
              <w:jc w:val="center"/>
              <w:rPr>
                <w:rFonts w:ascii="楷体" w:hAnsi="楷体" w:eastAsia="楷体"/>
                <w:color w:val="000000"/>
                <w:sz w:val="24"/>
              </w:rPr>
            </w:pPr>
            <w:r>
              <w:rPr>
                <w:rFonts w:hint="eastAsia" w:ascii="楷体" w:hAnsi="楷体" w:eastAsia="楷体"/>
                <w:color w:val="000000"/>
                <w:sz w:val="24"/>
              </w:rPr>
              <w:t>该课程主要内容包含计算机系统、常用办公软件（wps文字、wps表格、演示文稿）应用、计算机新技术（人工智能区块链等）应用。</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30B7C0F6">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根据信息化教学要求在计算机机房授课。2</w:t>
            </w:r>
            <w:r>
              <w:rPr>
                <w:rFonts w:hint="eastAsia" w:ascii="楷体" w:hAnsi="楷体" w:eastAsia="楷体"/>
                <w:color w:val="000000"/>
                <w:sz w:val="24"/>
                <w:lang w:val="en-US" w:eastAsia="zh-CN"/>
              </w:rPr>
              <w:t>.</w:t>
            </w:r>
            <w:r>
              <w:rPr>
                <w:rFonts w:hint="eastAsia" w:ascii="楷体" w:hAnsi="楷体" w:eastAsia="楷体"/>
                <w:color w:val="000000"/>
                <w:sz w:val="24"/>
              </w:rPr>
              <w:t>采用案例化教材教学</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645A5138">
            <w:pPr>
              <w:spacing w:before="240" w:line="360" w:lineRule="auto"/>
              <w:jc w:val="center"/>
              <w:rPr>
                <w:rFonts w:ascii="楷体" w:hAnsi="楷体" w:eastAsia="楷体"/>
                <w:color w:val="000000"/>
                <w:sz w:val="24"/>
              </w:rPr>
            </w:pPr>
          </w:p>
        </w:tc>
      </w:tr>
    </w:tbl>
    <w:p w14:paraId="79A9F071">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2.专业核心课程</w:t>
      </w:r>
    </w:p>
    <w:tbl>
      <w:tblPr>
        <w:tblStyle w:val="6"/>
        <w:tblW w:w="856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467"/>
        <w:gridCol w:w="2073"/>
        <w:gridCol w:w="1700"/>
        <w:gridCol w:w="2355"/>
        <w:gridCol w:w="967"/>
      </w:tblGrid>
      <w:tr w14:paraId="49807A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467" w:type="dxa"/>
            <w:vAlign w:val="center"/>
          </w:tcPr>
          <w:p w14:paraId="45E8C0AA">
            <w:pPr>
              <w:pStyle w:val="12"/>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课程名称</w:t>
            </w:r>
          </w:p>
        </w:tc>
        <w:tc>
          <w:tcPr>
            <w:tcW w:w="2073" w:type="dxa"/>
            <w:vAlign w:val="center"/>
          </w:tcPr>
          <w:p w14:paraId="168C5714">
            <w:pPr>
              <w:pStyle w:val="12"/>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课程目标</w:t>
            </w:r>
          </w:p>
        </w:tc>
        <w:tc>
          <w:tcPr>
            <w:tcW w:w="1700" w:type="dxa"/>
            <w:vAlign w:val="center"/>
          </w:tcPr>
          <w:p w14:paraId="1E52F4D8">
            <w:pPr>
              <w:pStyle w:val="12"/>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主要内容</w:t>
            </w:r>
          </w:p>
        </w:tc>
        <w:tc>
          <w:tcPr>
            <w:tcW w:w="2355" w:type="dxa"/>
            <w:vAlign w:val="center"/>
          </w:tcPr>
          <w:p w14:paraId="0BCB57DE">
            <w:pPr>
              <w:pStyle w:val="12"/>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教学要求</w:t>
            </w:r>
          </w:p>
        </w:tc>
        <w:tc>
          <w:tcPr>
            <w:tcW w:w="967" w:type="dxa"/>
            <w:vAlign w:val="center"/>
          </w:tcPr>
          <w:p w14:paraId="79516E79">
            <w:pPr>
              <w:pStyle w:val="12"/>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备注</w:t>
            </w:r>
          </w:p>
        </w:tc>
      </w:tr>
      <w:tr w14:paraId="22477C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467" w:type="dxa"/>
            <w:vAlign w:val="center"/>
          </w:tcPr>
          <w:p w14:paraId="64D018E3">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企业财务会计</w:t>
            </w:r>
          </w:p>
        </w:tc>
        <w:tc>
          <w:tcPr>
            <w:tcW w:w="2073" w:type="dxa"/>
            <w:vAlign w:val="center"/>
          </w:tcPr>
          <w:p w14:paraId="612731AD">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1.理解会计的基本理论；2.掌握企业日常经济业务的核算处理；3.掌握财务报告的编制方法；4.增强学生的会计职业判断意识，为后续课程打下坚实的基础。</w:t>
            </w:r>
          </w:p>
        </w:tc>
        <w:tc>
          <w:tcPr>
            <w:tcW w:w="1700" w:type="dxa"/>
            <w:vAlign w:val="center"/>
          </w:tcPr>
          <w:p w14:paraId="2A02D609">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1.企业的运营流程及会计核算流程；2.资产、负债的核算；3.所有者权益、收入费用利润的核算；4.财务报表的编制等。</w:t>
            </w:r>
          </w:p>
        </w:tc>
        <w:tc>
          <w:tcPr>
            <w:tcW w:w="2355" w:type="dxa"/>
            <w:vAlign w:val="center"/>
          </w:tcPr>
          <w:p w14:paraId="4E9BD8BA">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本课程体系的内容主要以高职教育的培养理念，在掌握基本理论的基础上，加大实践动手能力的培养，通过课堂演示、课后练习、分岗实训和综合实训，实现专业课程教学的工学交替，充分体现高职会计专业的人才培养目标。</w:t>
            </w:r>
          </w:p>
        </w:tc>
        <w:tc>
          <w:tcPr>
            <w:tcW w:w="967" w:type="dxa"/>
            <w:vAlign w:val="center"/>
          </w:tcPr>
          <w:p w14:paraId="7650A514">
            <w:pPr>
              <w:pStyle w:val="12"/>
              <w:rPr>
                <w:rFonts w:hint="eastAsia" w:ascii="楷体" w:hAnsi="楷体" w:eastAsia="楷体" w:cs="楷体"/>
                <w:color w:val="000000"/>
                <w:sz w:val="24"/>
                <w:szCs w:val="24"/>
              </w:rPr>
            </w:pPr>
          </w:p>
        </w:tc>
      </w:tr>
      <w:tr w14:paraId="754914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467" w:type="dxa"/>
            <w:vAlign w:val="center"/>
          </w:tcPr>
          <w:p w14:paraId="59693DD9">
            <w:pPr>
              <w:widowControl/>
              <w:jc w:val="center"/>
              <w:textAlignment w:val="center"/>
              <w:rPr>
                <w:rFonts w:hint="eastAsia" w:ascii="楷体" w:hAnsi="楷体" w:eastAsia="楷体" w:cs="楷体"/>
                <w:color w:val="000000"/>
                <w:sz w:val="24"/>
                <w:szCs w:val="24"/>
              </w:rPr>
            </w:pPr>
            <w:r>
              <w:rPr>
                <w:rFonts w:hint="eastAsia" w:ascii="楷体" w:hAnsi="楷体" w:eastAsia="楷体" w:cs="楷体"/>
                <w:sz w:val="24"/>
                <w:szCs w:val="24"/>
              </w:rPr>
              <w:t>基础会计理论与实务</w:t>
            </w:r>
          </w:p>
        </w:tc>
        <w:tc>
          <w:tcPr>
            <w:tcW w:w="2073" w:type="dxa"/>
            <w:vAlign w:val="center"/>
          </w:tcPr>
          <w:p w14:paraId="24F81478">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1.课程依据企业对会计人员的基础理论知识要求开设。2.掌握大数据会计的基本原理、企业经济业务流程的核算和管控原理，以及基本会计核算方法；3.掌握企业日常业务</w:t>
            </w:r>
            <w:r>
              <w:rPr>
                <w:rFonts w:hint="eastAsia" w:ascii="楷体" w:hAnsi="楷体" w:eastAsia="楷体" w:cs="楷体"/>
                <w:sz w:val="24"/>
                <w:szCs w:val="24"/>
                <w:lang w:eastAsia="zh-CN"/>
              </w:rPr>
              <w:t>以及</w:t>
            </w:r>
            <w:r>
              <w:rPr>
                <w:rFonts w:hint="eastAsia" w:ascii="楷体" w:hAnsi="楷体" w:eastAsia="楷体" w:cs="楷体"/>
                <w:sz w:val="24"/>
                <w:szCs w:val="24"/>
              </w:rPr>
              <w:t>企业期末业务的基本账务处理和报告。</w:t>
            </w:r>
          </w:p>
        </w:tc>
        <w:tc>
          <w:tcPr>
            <w:tcW w:w="1700" w:type="dxa"/>
            <w:vAlign w:val="center"/>
          </w:tcPr>
          <w:p w14:paraId="7B3C1402">
            <w:pPr>
              <w:spacing w:line="288" w:lineRule="auto"/>
              <w:jc w:val="left"/>
              <w:rPr>
                <w:rFonts w:hint="eastAsia" w:ascii="楷体" w:hAnsi="楷体" w:eastAsia="楷体" w:cs="楷体"/>
                <w:sz w:val="24"/>
                <w:szCs w:val="24"/>
              </w:rPr>
            </w:pPr>
            <w:r>
              <w:rPr>
                <w:rFonts w:hint="eastAsia" w:ascii="楷体" w:hAnsi="楷体" w:eastAsia="楷体" w:cs="楷体"/>
                <w:sz w:val="24"/>
                <w:szCs w:val="24"/>
              </w:rPr>
              <w:t>1.掌握大数据会计基本知识和基本方法；</w:t>
            </w:r>
          </w:p>
          <w:p w14:paraId="53CEF597">
            <w:pPr>
              <w:spacing w:line="288" w:lineRule="auto"/>
              <w:jc w:val="left"/>
              <w:rPr>
                <w:rFonts w:hint="eastAsia" w:ascii="楷体" w:hAnsi="楷体" w:eastAsia="楷体" w:cs="楷体"/>
                <w:sz w:val="24"/>
                <w:szCs w:val="24"/>
              </w:rPr>
            </w:pPr>
            <w:r>
              <w:rPr>
                <w:rFonts w:hint="eastAsia" w:ascii="楷体" w:hAnsi="楷体" w:eastAsia="楷体" w:cs="楷体"/>
                <w:sz w:val="24"/>
                <w:szCs w:val="24"/>
              </w:rPr>
              <w:t>2.以企业业务为依托，掌握经济业务的会计核算；</w:t>
            </w:r>
          </w:p>
          <w:p w14:paraId="6A4C04D0">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3.结合经济业务流程的管控，掌握会计信息的报告与使用。</w:t>
            </w:r>
          </w:p>
        </w:tc>
        <w:tc>
          <w:tcPr>
            <w:tcW w:w="2355" w:type="dxa"/>
            <w:vAlign w:val="center"/>
          </w:tcPr>
          <w:p w14:paraId="678A167A">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结合课程标准和设计选择教学内容，借助网络资源和现代化教学手段，运用引导启发式教学和提升情景案例教学等多种教学方法，增强学生企业管理的能力和素质，帮助学生树立“诚信为本，操守为重”的会计职业道德。</w:t>
            </w:r>
          </w:p>
        </w:tc>
        <w:tc>
          <w:tcPr>
            <w:tcW w:w="967" w:type="dxa"/>
            <w:vAlign w:val="center"/>
          </w:tcPr>
          <w:p w14:paraId="0E6A2DBD">
            <w:pPr>
              <w:pStyle w:val="12"/>
              <w:rPr>
                <w:rFonts w:hint="eastAsia" w:ascii="楷体" w:hAnsi="楷体" w:eastAsia="楷体" w:cs="楷体"/>
                <w:color w:val="000000"/>
                <w:sz w:val="24"/>
                <w:szCs w:val="24"/>
              </w:rPr>
            </w:pPr>
          </w:p>
        </w:tc>
      </w:tr>
      <w:tr w14:paraId="32442D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467" w:type="dxa"/>
            <w:vAlign w:val="center"/>
          </w:tcPr>
          <w:p w14:paraId="1DAE8C58">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管理会计实务</w:t>
            </w:r>
          </w:p>
        </w:tc>
        <w:tc>
          <w:tcPr>
            <w:tcW w:w="2073" w:type="dxa"/>
            <w:vAlign w:val="center"/>
          </w:tcPr>
          <w:p w14:paraId="5CF7A372">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1.掌握管理会计的基本理论、基本技能和基本方法；2.掌握各种分析方法的应用技能和技巧；3.提高学生利用管理会计方法和思维分析问题和解决问题的能力。</w:t>
            </w:r>
          </w:p>
        </w:tc>
        <w:tc>
          <w:tcPr>
            <w:tcW w:w="1700" w:type="dxa"/>
            <w:vAlign w:val="center"/>
          </w:tcPr>
          <w:p w14:paraId="363A3EC7">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1.管理会计五大职能；2.管理会计基本方法；3.定量预测分析法；4.经营决策分析法；5.全面预算分析方法；6.标准成本控制方法7.责任考核方法。</w:t>
            </w:r>
          </w:p>
        </w:tc>
        <w:tc>
          <w:tcPr>
            <w:tcW w:w="2355" w:type="dxa"/>
            <w:vAlign w:val="center"/>
          </w:tcPr>
          <w:p w14:paraId="4206A332">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本课程按照课程标准和设计把握教学内容的深度，充分借助现代化教学手段，运用任务驱动、翻转课堂、启发式、讨论式等教学方法，培养学生发现问题和提出问题的能力并运用所学的管理会计理论和研究方法进行问题分析和研究，进而提出相应的解决方案。</w:t>
            </w:r>
          </w:p>
        </w:tc>
        <w:tc>
          <w:tcPr>
            <w:tcW w:w="967" w:type="dxa"/>
            <w:vAlign w:val="center"/>
          </w:tcPr>
          <w:p w14:paraId="79C546D8">
            <w:pPr>
              <w:pStyle w:val="12"/>
              <w:rPr>
                <w:rFonts w:hint="eastAsia" w:ascii="楷体" w:hAnsi="楷体" w:eastAsia="楷体" w:cs="楷体"/>
                <w:color w:val="000000"/>
                <w:sz w:val="24"/>
                <w:szCs w:val="24"/>
              </w:rPr>
            </w:pPr>
          </w:p>
        </w:tc>
      </w:tr>
      <w:tr w14:paraId="730598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467" w:type="dxa"/>
            <w:vAlign w:val="center"/>
          </w:tcPr>
          <w:p w14:paraId="7AFC044E">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数字纳税实务</w:t>
            </w:r>
          </w:p>
        </w:tc>
        <w:tc>
          <w:tcPr>
            <w:tcW w:w="2073" w:type="dxa"/>
            <w:vAlign w:val="center"/>
          </w:tcPr>
          <w:p w14:paraId="44C2207B">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1.掌握各税种的法律法规，2.掌握各税种应纳税额的计算。通过本课程各税种的计算和申报训练，学生不仅仅能够达到直接上岗的目标；而且可以为学生考取初级会计资格证书等职业证书打下坚实的基础；并培养一部分优秀学生参与各项会计竞赛。</w:t>
            </w:r>
          </w:p>
        </w:tc>
        <w:tc>
          <w:tcPr>
            <w:tcW w:w="1700" w:type="dxa"/>
            <w:vAlign w:val="center"/>
          </w:tcPr>
          <w:p w14:paraId="268E8E0E">
            <w:pPr>
              <w:spacing w:line="288" w:lineRule="auto"/>
              <w:jc w:val="left"/>
              <w:rPr>
                <w:rFonts w:hint="eastAsia" w:ascii="楷体" w:hAnsi="楷体" w:eastAsia="楷体" w:cs="楷体"/>
                <w:sz w:val="24"/>
                <w:szCs w:val="24"/>
              </w:rPr>
            </w:pPr>
            <w:r>
              <w:rPr>
                <w:rFonts w:hint="eastAsia" w:ascii="楷体" w:hAnsi="楷体" w:eastAsia="楷体" w:cs="楷体"/>
                <w:sz w:val="24"/>
                <w:szCs w:val="24"/>
              </w:rPr>
              <w:t>1.增值税、消费税、附加税、个人所得税和企业所得税等税法的基本法律规定、申报的期限、减税免税、税收优惠等。</w:t>
            </w:r>
          </w:p>
          <w:p w14:paraId="53431329">
            <w:pPr>
              <w:spacing w:line="288" w:lineRule="auto"/>
              <w:jc w:val="left"/>
              <w:rPr>
                <w:rFonts w:hint="eastAsia" w:ascii="楷体" w:hAnsi="楷体" w:eastAsia="楷体" w:cs="楷体"/>
                <w:sz w:val="24"/>
                <w:szCs w:val="24"/>
              </w:rPr>
            </w:pPr>
            <w:r>
              <w:rPr>
                <w:rFonts w:hint="eastAsia" w:ascii="楷体" w:hAnsi="楷体" w:eastAsia="楷体" w:cs="楷体"/>
                <w:sz w:val="24"/>
                <w:szCs w:val="24"/>
              </w:rPr>
              <w:t>2.利用在线纳税申报表的填写，理解各个申报表之间的勾稽关系；</w:t>
            </w:r>
          </w:p>
          <w:p w14:paraId="278BB532">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3.熟悉各税种纳税申报表的构成、种类。</w:t>
            </w:r>
          </w:p>
        </w:tc>
        <w:tc>
          <w:tcPr>
            <w:tcW w:w="2355" w:type="dxa"/>
            <w:vAlign w:val="center"/>
          </w:tcPr>
          <w:p w14:paraId="21403076">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本课程以“课岗赛证”融合为导向，借助模拟实训系统，结合企业实际工作岗位和学生需求，设计选择教学内容，借助网络资源和现代化教学手段，运用任务驱动、案例分析、小组讨论、模拟教学等多种教学方法，让学生了解和掌握与企业密切相关的各项税收法律法规。</w:t>
            </w:r>
          </w:p>
        </w:tc>
        <w:tc>
          <w:tcPr>
            <w:tcW w:w="967" w:type="dxa"/>
            <w:vAlign w:val="center"/>
          </w:tcPr>
          <w:p w14:paraId="681D5B2A">
            <w:pPr>
              <w:pStyle w:val="12"/>
              <w:rPr>
                <w:rFonts w:hint="eastAsia" w:ascii="楷体" w:hAnsi="楷体" w:eastAsia="楷体" w:cs="楷体"/>
                <w:color w:val="000000"/>
                <w:sz w:val="24"/>
                <w:szCs w:val="24"/>
              </w:rPr>
            </w:pPr>
          </w:p>
        </w:tc>
      </w:tr>
      <w:tr w14:paraId="474A12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467" w:type="dxa"/>
            <w:vAlign w:val="center"/>
          </w:tcPr>
          <w:p w14:paraId="1BE42EC3">
            <w:pPr>
              <w:spacing w:line="288" w:lineRule="auto"/>
              <w:jc w:val="center"/>
              <w:rPr>
                <w:rFonts w:hint="eastAsia" w:ascii="楷体" w:hAnsi="楷体" w:eastAsia="楷体" w:cs="楷体"/>
                <w:color w:val="000000"/>
                <w:sz w:val="24"/>
                <w:szCs w:val="24"/>
              </w:rPr>
            </w:pPr>
            <w:r>
              <w:rPr>
                <w:rFonts w:hint="eastAsia" w:ascii="楷体" w:hAnsi="楷体" w:eastAsia="楷体" w:cs="楷体"/>
                <w:sz w:val="24"/>
                <w:szCs w:val="24"/>
              </w:rPr>
              <w:t>财务管理实务</w:t>
            </w:r>
          </w:p>
        </w:tc>
        <w:tc>
          <w:tcPr>
            <w:tcW w:w="2073" w:type="dxa"/>
            <w:vAlign w:val="center"/>
          </w:tcPr>
          <w:p w14:paraId="1874CCAA">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1.理解财务管理的基本框架和方法；2.掌握筹资决策、投资决策、资产管理、利润管理和财务预算等实务操作的能力，达到财务人员应具备的财务管理理论水平和业务能力。</w:t>
            </w:r>
          </w:p>
        </w:tc>
        <w:tc>
          <w:tcPr>
            <w:tcW w:w="1700" w:type="dxa"/>
            <w:vAlign w:val="center"/>
          </w:tcPr>
          <w:p w14:paraId="611BF634">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1.财务管理基本框架和价值观念；2.筹资管理；3.项目投资管理；4.证券投资管理；5.流动资产管理；6.利润分配政策。</w:t>
            </w:r>
          </w:p>
        </w:tc>
        <w:tc>
          <w:tcPr>
            <w:tcW w:w="2355" w:type="dxa"/>
            <w:vAlign w:val="center"/>
          </w:tcPr>
          <w:p w14:paraId="5A6581F6">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本课程课程标准和设计把握教学内容的深度，充分借助现代化教学手段，运用项目教学法、启发式、讨论式等教学方法，提高教学效率和培养学生的学习能力。</w:t>
            </w:r>
          </w:p>
        </w:tc>
        <w:tc>
          <w:tcPr>
            <w:tcW w:w="967" w:type="dxa"/>
            <w:vAlign w:val="center"/>
          </w:tcPr>
          <w:p w14:paraId="27141482">
            <w:pPr>
              <w:pStyle w:val="12"/>
              <w:rPr>
                <w:rFonts w:hint="eastAsia" w:ascii="楷体" w:hAnsi="楷体" w:eastAsia="楷体" w:cs="楷体"/>
                <w:color w:val="000000"/>
                <w:sz w:val="24"/>
                <w:szCs w:val="24"/>
              </w:rPr>
            </w:pPr>
          </w:p>
        </w:tc>
      </w:tr>
      <w:tr w14:paraId="3C95E1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467" w:type="dxa"/>
            <w:vAlign w:val="center"/>
          </w:tcPr>
          <w:p w14:paraId="0026F128">
            <w:pPr>
              <w:spacing w:line="390" w:lineRule="auto"/>
              <w:jc w:val="center"/>
              <w:rPr>
                <w:rFonts w:hint="eastAsia" w:ascii="楷体" w:hAnsi="楷体" w:eastAsia="楷体" w:cs="楷体"/>
                <w:color w:val="000000"/>
                <w:sz w:val="24"/>
                <w:szCs w:val="24"/>
              </w:rPr>
            </w:pPr>
            <w:r>
              <w:rPr>
                <w:rFonts w:hint="eastAsia" w:ascii="楷体" w:hAnsi="楷体" w:eastAsia="楷体" w:cs="楷体"/>
                <w:sz w:val="24"/>
                <w:szCs w:val="24"/>
              </w:rPr>
              <w:t>会计信息系统应用</w:t>
            </w:r>
          </w:p>
        </w:tc>
        <w:tc>
          <w:tcPr>
            <w:tcW w:w="2073" w:type="dxa"/>
            <w:vAlign w:val="center"/>
          </w:tcPr>
          <w:p w14:paraId="2DD5BC89">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1.了解会计信息化的基本理论知识；2.掌握会计信息化的基本操作技能；3.掌握会计信息化实施过程中应执行的基本流程,达到应用型和技能型合格人才的要求。</w:t>
            </w:r>
          </w:p>
        </w:tc>
        <w:tc>
          <w:tcPr>
            <w:tcW w:w="1700" w:type="dxa"/>
            <w:vAlign w:val="center"/>
          </w:tcPr>
          <w:p w14:paraId="520CD4CD">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1.会计信息化的基础知识；2.系统管理；3.账务处理系统；4.报表管理系统；5.工资管理系统；6.固定资产管理系统；7.应收款管理系统；8.应付款管理系统；9.购销存管理系统。</w:t>
            </w:r>
          </w:p>
        </w:tc>
        <w:tc>
          <w:tcPr>
            <w:tcW w:w="2355" w:type="dxa"/>
            <w:vAlign w:val="center"/>
          </w:tcPr>
          <w:p w14:paraId="41305C1A">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本课程根据企业实际工作岗位和学生需求，以用友软件为平台，结合课程标准和设计选择教学内容，借助网络资源和现代化教学手段，运用任务驱动、项目教学法、翻转课堂、启发式、讨论式等教学方法，使学生达到掌握会计软件应用的能力并积累一定的会计信息化经验。</w:t>
            </w:r>
          </w:p>
        </w:tc>
        <w:tc>
          <w:tcPr>
            <w:tcW w:w="967" w:type="dxa"/>
            <w:vAlign w:val="center"/>
          </w:tcPr>
          <w:p w14:paraId="42342C4F">
            <w:pPr>
              <w:pStyle w:val="12"/>
              <w:rPr>
                <w:rFonts w:hint="eastAsia" w:ascii="楷体" w:hAnsi="楷体" w:eastAsia="楷体" w:cs="楷体"/>
                <w:color w:val="000000"/>
                <w:sz w:val="24"/>
                <w:szCs w:val="24"/>
              </w:rPr>
            </w:pPr>
          </w:p>
        </w:tc>
      </w:tr>
    </w:tbl>
    <w:p w14:paraId="6D5AC31D">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3.其他专业课程</w:t>
      </w:r>
    </w:p>
    <w:tbl>
      <w:tblPr>
        <w:tblStyle w:val="6"/>
        <w:tblW w:w="861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559"/>
        <w:gridCol w:w="2017"/>
        <w:gridCol w:w="1874"/>
        <w:gridCol w:w="2272"/>
        <w:gridCol w:w="895"/>
      </w:tblGrid>
      <w:tr w14:paraId="02FB4B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59" w:type="dxa"/>
            <w:vAlign w:val="center"/>
          </w:tcPr>
          <w:p w14:paraId="670FD09A">
            <w:pPr>
              <w:pStyle w:val="12"/>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课程名称</w:t>
            </w:r>
          </w:p>
        </w:tc>
        <w:tc>
          <w:tcPr>
            <w:tcW w:w="2017" w:type="dxa"/>
            <w:vAlign w:val="center"/>
          </w:tcPr>
          <w:p w14:paraId="5C918FDE">
            <w:pPr>
              <w:pStyle w:val="12"/>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课程目标</w:t>
            </w:r>
          </w:p>
        </w:tc>
        <w:tc>
          <w:tcPr>
            <w:tcW w:w="1874" w:type="dxa"/>
            <w:vAlign w:val="center"/>
          </w:tcPr>
          <w:p w14:paraId="34249A14">
            <w:pPr>
              <w:pStyle w:val="12"/>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主要内容</w:t>
            </w:r>
          </w:p>
        </w:tc>
        <w:tc>
          <w:tcPr>
            <w:tcW w:w="2272" w:type="dxa"/>
            <w:vAlign w:val="center"/>
          </w:tcPr>
          <w:p w14:paraId="5CA97D63">
            <w:pPr>
              <w:pStyle w:val="12"/>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教学要求</w:t>
            </w:r>
          </w:p>
        </w:tc>
        <w:tc>
          <w:tcPr>
            <w:tcW w:w="895" w:type="dxa"/>
            <w:vAlign w:val="center"/>
          </w:tcPr>
          <w:p w14:paraId="1522D8FD">
            <w:pPr>
              <w:pStyle w:val="12"/>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备注</w:t>
            </w:r>
          </w:p>
        </w:tc>
      </w:tr>
      <w:tr w14:paraId="17E21E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59" w:type="dxa"/>
            <w:vAlign w:val="center"/>
          </w:tcPr>
          <w:p w14:paraId="0AE6F795">
            <w:pPr>
              <w:spacing w:line="288" w:lineRule="auto"/>
              <w:jc w:val="center"/>
              <w:rPr>
                <w:rFonts w:hint="eastAsia" w:ascii="楷体" w:hAnsi="楷体" w:eastAsia="楷体" w:cs="楷体"/>
                <w:color w:val="000000"/>
                <w:sz w:val="24"/>
                <w:szCs w:val="24"/>
              </w:rPr>
            </w:pPr>
            <w:r>
              <w:rPr>
                <w:rFonts w:hint="eastAsia" w:ascii="楷体" w:hAnsi="楷体" w:eastAsia="楷体" w:cs="楷体"/>
                <w:sz w:val="24"/>
                <w:szCs w:val="24"/>
              </w:rPr>
              <w:t>智能化成本核算与管理</w:t>
            </w:r>
          </w:p>
        </w:tc>
        <w:tc>
          <w:tcPr>
            <w:tcW w:w="2017" w:type="dxa"/>
            <w:vAlign w:val="center"/>
          </w:tcPr>
          <w:p w14:paraId="2A57D839">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1.掌握中小型制造企业产品成本的理论和知识；2.掌握成本管理的相关方法；3.通过本课程的学习为企业管理层提供决策依据，帮助企业提升市场竞争力。</w:t>
            </w:r>
          </w:p>
        </w:tc>
        <w:tc>
          <w:tcPr>
            <w:tcW w:w="1874" w:type="dxa"/>
            <w:vAlign w:val="center"/>
          </w:tcPr>
          <w:p w14:paraId="29E25BBE">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1.成本核算方法和流程；2.作业成本法、变动成本法、标准成本法、目标成本法等成本管理方法的不同应用；3.成本报表的编制与分析方法。</w:t>
            </w:r>
          </w:p>
        </w:tc>
        <w:tc>
          <w:tcPr>
            <w:tcW w:w="2272" w:type="dxa"/>
            <w:vAlign w:val="center"/>
          </w:tcPr>
          <w:p w14:paraId="6AC0B4F0">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本课程以企业工作项目为载体、根据企业成本会计岗位工作任务要求，完成企业成本核算与管理工作，教学过程中强调“诚实守信”的职业道德，通过大量繁琐的计算工作提升学生精益求精的工匠精神。</w:t>
            </w:r>
          </w:p>
        </w:tc>
        <w:tc>
          <w:tcPr>
            <w:tcW w:w="895" w:type="dxa"/>
            <w:vAlign w:val="center"/>
          </w:tcPr>
          <w:p w14:paraId="71E92807">
            <w:pPr>
              <w:pStyle w:val="12"/>
              <w:rPr>
                <w:rFonts w:hint="eastAsia" w:ascii="楷体" w:hAnsi="楷体" w:eastAsia="楷体" w:cs="楷体"/>
                <w:color w:val="000000"/>
                <w:sz w:val="24"/>
                <w:szCs w:val="24"/>
              </w:rPr>
            </w:pPr>
          </w:p>
        </w:tc>
      </w:tr>
      <w:tr w14:paraId="13FE88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59" w:type="dxa"/>
            <w:vAlign w:val="center"/>
          </w:tcPr>
          <w:p w14:paraId="0418E017">
            <w:pPr>
              <w:spacing w:line="288" w:lineRule="auto"/>
              <w:jc w:val="center"/>
              <w:rPr>
                <w:rFonts w:hint="eastAsia" w:ascii="楷体" w:hAnsi="楷体" w:eastAsia="楷体" w:cs="楷体"/>
                <w:color w:val="000000"/>
                <w:sz w:val="24"/>
                <w:szCs w:val="24"/>
              </w:rPr>
            </w:pPr>
            <w:r>
              <w:rPr>
                <w:rFonts w:hint="eastAsia" w:ascii="楷体" w:hAnsi="楷体" w:eastAsia="楷体" w:cs="楷体"/>
                <w:sz w:val="24"/>
                <w:szCs w:val="24"/>
              </w:rPr>
              <w:t>统计基础与数据分析</w:t>
            </w:r>
          </w:p>
        </w:tc>
        <w:tc>
          <w:tcPr>
            <w:tcW w:w="2017" w:type="dxa"/>
            <w:vAlign w:val="center"/>
          </w:tcPr>
          <w:p w14:paraId="4CD1C284">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通过课程学习，帮助学生理解统计学的基本原理，掌握统计学的基本应用方法在实际中的经济管理案例中的应用，提高职业技能。</w:t>
            </w:r>
          </w:p>
        </w:tc>
        <w:tc>
          <w:tcPr>
            <w:tcW w:w="1874" w:type="dxa"/>
            <w:vAlign w:val="center"/>
          </w:tcPr>
          <w:p w14:paraId="0B09C05B">
            <w:pPr>
              <w:spacing w:line="288" w:lineRule="auto"/>
              <w:jc w:val="left"/>
              <w:rPr>
                <w:rFonts w:hint="eastAsia" w:ascii="楷体" w:hAnsi="楷体" w:eastAsia="楷体" w:cs="楷体"/>
                <w:sz w:val="24"/>
                <w:szCs w:val="24"/>
              </w:rPr>
            </w:pPr>
            <w:r>
              <w:rPr>
                <w:rFonts w:hint="eastAsia" w:ascii="楷体" w:hAnsi="楷体" w:eastAsia="楷体" w:cs="楷体"/>
                <w:sz w:val="24"/>
                <w:szCs w:val="24"/>
              </w:rPr>
              <w:t>1.描述统计，包括数据收集、整理、处理、描述等内容；</w:t>
            </w:r>
          </w:p>
          <w:p w14:paraId="67672A6F">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2.推断统计，包括参数估计、假设检验、回归分析、时间序列分析等内容。</w:t>
            </w:r>
          </w:p>
        </w:tc>
        <w:tc>
          <w:tcPr>
            <w:tcW w:w="2272" w:type="dxa"/>
            <w:vAlign w:val="center"/>
          </w:tcPr>
          <w:p w14:paraId="32B0F200">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本课程主要培养学生统计学的最基本理论，教学内容以项目内容出现，培养学生数据分析时谦虚、谨慎和务实的工作精神，协调配合完成学习任务。</w:t>
            </w:r>
          </w:p>
        </w:tc>
        <w:tc>
          <w:tcPr>
            <w:tcW w:w="895" w:type="dxa"/>
            <w:vAlign w:val="center"/>
          </w:tcPr>
          <w:p w14:paraId="77852477">
            <w:pPr>
              <w:pStyle w:val="12"/>
              <w:rPr>
                <w:rFonts w:hint="eastAsia" w:ascii="楷体" w:hAnsi="楷体" w:eastAsia="楷体" w:cs="楷体"/>
                <w:color w:val="000000"/>
                <w:sz w:val="24"/>
                <w:szCs w:val="24"/>
              </w:rPr>
            </w:pPr>
          </w:p>
        </w:tc>
      </w:tr>
      <w:tr w14:paraId="66EC19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59" w:type="dxa"/>
            <w:vAlign w:val="center"/>
          </w:tcPr>
          <w:p w14:paraId="2F926867">
            <w:pPr>
              <w:widowControl/>
              <w:jc w:val="center"/>
              <w:textAlignment w:val="center"/>
              <w:rPr>
                <w:rFonts w:hint="eastAsia" w:ascii="楷体" w:hAnsi="楷体" w:eastAsia="楷体" w:cs="楷体"/>
                <w:color w:val="000000"/>
                <w:sz w:val="24"/>
                <w:szCs w:val="24"/>
              </w:rPr>
            </w:pPr>
            <w:r>
              <w:rPr>
                <w:rFonts w:hint="eastAsia" w:ascii="楷体" w:hAnsi="楷体" w:eastAsia="楷体" w:cs="楷体"/>
                <w:sz w:val="24"/>
                <w:szCs w:val="24"/>
              </w:rPr>
              <w:t>经济学基础</w:t>
            </w:r>
          </w:p>
        </w:tc>
        <w:tc>
          <w:tcPr>
            <w:tcW w:w="2017" w:type="dxa"/>
            <w:vAlign w:val="center"/>
          </w:tcPr>
          <w:p w14:paraId="47510BA6">
            <w:pPr>
              <w:spacing w:line="288" w:lineRule="auto"/>
              <w:jc w:val="left"/>
              <w:rPr>
                <w:rFonts w:hint="eastAsia" w:ascii="楷体" w:hAnsi="楷体" w:eastAsia="楷体" w:cs="楷体"/>
                <w:color w:val="000000"/>
                <w:sz w:val="24"/>
                <w:szCs w:val="24"/>
              </w:rPr>
            </w:pPr>
            <w:r>
              <w:rPr>
                <w:rFonts w:hint="eastAsia" w:ascii="楷体" w:hAnsi="楷体" w:eastAsia="楷体" w:cs="楷体"/>
                <w:sz w:val="24"/>
                <w:szCs w:val="24"/>
              </w:rPr>
              <w:t>通过课程学习，培养学生掌握经济领域的基本术语和基本理论，加强学生思辨和探索问题的意识和能力，关注经济热点和难点问题以及由经济问题导致的相关社会问题，了解和分析经济领域的常见现象，养成较好的大局意识、对于市场经济运行具有较好的宏观分析与判断能力。</w:t>
            </w:r>
          </w:p>
        </w:tc>
        <w:tc>
          <w:tcPr>
            <w:tcW w:w="1874" w:type="dxa"/>
            <w:vAlign w:val="center"/>
          </w:tcPr>
          <w:p w14:paraId="029BDE40">
            <w:pPr>
              <w:spacing w:line="288" w:lineRule="auto"/>
              <w:jc w:val="left"/>
              <w:rPr>
                <w:rFonts w:hint="eastAsia" w:ascii="楷体" w:hAnsi="楷体" w:eastAsia="楷体" w:cs="楷体"/>
                <w:sz w:val="24"/>
                <w:szCs w:val="24"/>
              </w:rPr>
            </w:pPr>
            <w:r>
              <w:rPr>
                <w:rFonts w:hint="eastAsia" w:ascii="楷体" w:hAnsi="楷体" w:eastAsia="楷体" w:cs="楷体"/>
                <w:sz w:val="24"/>
                <w:szCs w:val="24"/>
              </w:rPr>
              <w:t>1.供求分析及市场价格决定；</w:t>
            </w:r>
          </w:p>
          <w:p w14:paraId="34AC6200">
            <w:pPr>
              <w:spacing w:line="288" w:lineRule="auto"/>
              <w:jc w:val="left"/>
              <w:rPr>
                <w:rFonts w:hint="eastAsia" w:ascii="楷体" w:hAnsi="楷体" w:eastAsia="楷体" w:cs="楷体"/>
                <w:sz w:val="24"/>
                <w:szCs w:val="24"/>
              </w:rPr>
            </w:pPr>
            <w:r>
              <w:rPr>
                <w:rFonts w:hint="eastAsia" w:ascii="楷体" w:hAnsi="楷体" w:eastAsia="楷体" w:cs="楷体"/>
                <w:sz w:val="24"/>
                <w:szCs w:val="24"/>
              </w:rPr>
              <w:t>2.消费者行为分析；</w:t>
            </w:r>
          </w:p>
          <w:p w14:paraId="324C97F2">
            <w:pPr>
              <w:spacing w:line="288" w:lineRule="auto"/>
              <w:jc w:val="left"/>
              <w:rPr>
                <w:rFonts w:hint="eastAsia" w:ascii="楷体" w:hAnsi="楷体" w:eastAsia="楷体" w:cs="楷体"/>
                <w:sz w:val="24"/>
                <w:szCs w:val="24"/>
              </w:rPr>
            </w:pPr>
            <w:r>
              <w:rPr>
                <w:rFonts w:hint="eastAsia" w:ascii="楷体" w:hAnsi="楷体" w:eastAsia="楷体" w:cs="楷体"/>
                <w:sz w:val="24"/>
                <w:szCs w:val="24"/>
              </w:rPr>
              <w:t>3.生产者行为分析</w:t>
            </w:r>
          </w:p>
          <w:p w14:paraId="74912091">
            <w:pPr>
              <w:spacing w:line="288" w:lineRule="auto"/>
              <w:jc w:val="left"/>
              <w:rPr>
                <w:rFonts w:hint="eastAsia" w:ascii="楷体" w:hAnsi="楷体" w:eastAsia="楷体" w:cs="楷体"/>
                <w:sz w:val="24"/>
                <w:szCs w:val="24"/>
              </w:rPr>
            </w:pPr>
            <w:r>
              <w:rPr>
                <w:rFonts w:hint="eastAsia" w:ascii="楷体" w:hAnsi="楷体" w:eastAsia="楷体" w:cs="楷体"/>
                <w:sz w:val="24"/>
                <w:szCs w:val="24"/>
              </w:rPr>
              <w:t>4.市场分类及决策行为分析；</w:t>
            </w:r>
          </w:p>
          <w:p w14:paraId="592E1F18">
            <w:pPr>
              <w:spacing w:line="288" w:lineRule="auto"/>
              <w:jc w:val="left"/>
              <w:rPr>
                <w:rFonts w:hint="eastAsia" w:ascii="楷体" w:hAnsi="楷体" w:eastAsia="楷体" w:cs="楷体"/>
                <w:sz w:val="24"/>
                <w:szCs w:val="24"/>
              </w:rPr>
            </w:pPr>
            <w:r>
              <w:rPr>
                <w:rFonts w:hint="eastAsia" w:ascii="楷体" w:hAnsi="楷体" w:eastAsia="楷体" w:cs="楷体"/>
                <w:sz w:val="24"/>
                <w:szCs w:val="24"/>
              </w:rPr>
              <w:t>5.宏观经济理论与政策：</w:t>
            </w:r>
          </w:p>
          <w:p w14:paraId="20D74023">
            <w:pPr>
              <w:spacing w:line="288" w:lineRule="auto"/>
              <w:jc w:val="left"/>
              <w:rPr>
                <w:rFonts w:hint="eastAsia" w:ascii="楷体" w:hAnsi="楷体" w:eastAsia="楷体" w:cs="楷体"/>
                <w:sz w:val="24"/>
                <w:szCs w:val="24"/>
              </w:rPr>
            </w:pPr>
            <w:r>
              <w:rPr>
                <w:rFonts w:hint="eastAsia" w:ascii="楷体" w:hAnsi="楷体" w:eastAsia="楷体" w:cs="楷体"/>
                <w:sz w:val="24"/>
                <w:szCs w:val="24"/>
              </w:rPr>
              <w:t>6.财政政策与货币政策。</w:t>
            </w:r>
          </w:p>
          <w:p w14:paraId="2ECCBCE5">
            <w:pPr>
              <w:spacing w:line="288" w:lineRule="auto"/>
              <w:jc w:val="left"/>
              <w:rPr>
                <w:rFonts w:hint="eastAsia" w:ascii="楷体" w:hAnsi="楷体" w:eastAsia="楷体" w:cs="楷体"/>
                <w:color w:val="000000"/>
                <w:sz w:val="24"/>
                <w:szCs w:val="24"/>
              </w:rPr>
            </w:pPr>
          </w:p>
        </w:tc>
        <w:tc>
          <w:tcPr>
            <w:tcW w:w="2272" w:type="dxa"/>
            <w:vAlign w:val="center"/>
          </w:tcPr>
          <w:p w14:paraId="4C8256C5">
            <w:pPr>
              <w:spacing w:line="288" w:lineRule="auto"/>
              <w:jc w:val="left"/>
              <w:rPr>
                <w:rFonts w:hint="eastAsia" w:ascii="楷体" w:hAnsi="楷体" w:eastAsia="楷体" w:cs="楷体"/>
                <w:sz w:val="24"/>
                <w:szCs w:val="24"/>
              </w:rPr>
            </w:pPr>
            <w:r>
              <w:rPr>
                <w:rFonts w:hint="eastAsia" w:ascii="楷体" w:hAnsi="楷体" w:eastAsia="楷体" w:cs="楷体"/>
                <w:sz w:val="24"/>
                <w:szCs w:val="24"/>
              </w:rPr>
              <w:t>1.本课程主要培养学生经济学的最基本理论，采用课堂理论教学为主，辅助课后练习和实践的教学模式。</w:t>
            </w:r>
          </w:p>
          <w:p w14:paraId="443ED560">
            <w:pPr>
              <w:spacing w:line="288" w:lineRule="auto"/>
              <w:jc w:val="left"/>
              <w:rPr>
                <w:rFonts w:hint="eastAsia" w:ascii="楷体" w:hAnsi="楷体" w:eastAsia="楷体" w:cs="楷体"/>
                <w:sz w:val="24"/>
                <w:szCs w:val="24"/>
              </w:rPr>
            </w:pPr>
            <w:r>
              <w:rPr>
                <w:rFonts w:hint="eastAsia" w:ascii="楷体" w:hAnsi="楷体" w:eastAsia="楷体" w:cs="楷体"/>
                <w:sz w:val="24"/>
                <w:szCs w:val="24"/>
              </w:rPr>
              <w:t>2.课程教学配备最新的相关教材；</w:t>
            </w:r>
          </w:p>
          <w:p w14:paraId="42F2C001">
            <w:pPr>
              <w:spacing w:line="288" w:lineRule="auto"/>
              <w:jc w:val="left"/>
              <w:rPr>
                <w:rFonts w:hint="eastAsia" w:ascii="楷体" w:hAnsi="楷体" w:eastAsia="楷体" w:cs="楷体"/>
                <w:sz w:val="24"/>
                <w:szCs w:val="24"/>
              </w:rPr>
            </w:pPr>
            <w:r>
              <w:rPr>
                <w:rFonts w:hint="eastAsia" w:ascii="楷体" w:hAnsi="楷体" w:eastAsia="楷体" w:cs="楷体"/>
                <w:sz w:val="24"/>
                <w:szCs w:val="24"/>
              </w:rPr>
              <w:t>3.配备多媒体教室。</w:t>
            </w:r>
          </w:p>
          <w:p w14:paraId="3DAEADAD">
            <w:pPr>
              <w:spacing w:line="288" w:lineRule="auto"/>
              <w:jc w:val="left"/>
              <w:rPr>
                <w:rFonts w:hint="eastAsia" w:ascii="楷体" w:hAnsi="楷体" w:eastAsia="楷体" w:cs="楷体"/>
                <w:color w:val="000000"/>
                <w:sz w:val="24"/>
                <w:szCs w:val="24"/>
              </w:rPr>
            </w:pPr>
          </w:p>
        </w:tc>
        <w:tc>
          <w:tcPr>
            <w:tcW w:w="895" w:type="dxa"/>
            <w:vAlign w:val="center"/>
          </w:tcPr>
          <w:p w14:paraId="7B5A770D">
            <w:pPr>
              <w:pStyle w:val="12"/>
              <w:rPr>
                <w:rFonts w:hint="eastAsia" w:ascii="楷体" w:hAnsi="楷体" w:eastAsia="楷体" w:cs="楷体"/>
                <w:color w:val="000000"/>
                <w:sz w:val="24"/>
                <w:szCs w:val="24"/>
              </w:rPr>
            </w:pPr>
          </w:p>
        </w:tc>
      </w:tr>
      <w:tr w14:paraId="29AA75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59" w:type="dxa"/>
            <w:vAlign w:val="center"/>
          </w:tcPr>
          <w:p w14:paraId="51E0613E">
            <w:pPr>
              <w:widowControl/>
              <w:jc w:val="center"/>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lang w:bidi="ar"/>
              </w:rPr>
              <w:t>纳税筹划</w:t>
            </w:r>
          </w:p>
        </w:tc>
        <w:tc>
          <w:tcPr>
            <w:tcW w:w="2017" w:type="dxa"/>
            <w:vAlign w:val="center"/>
          </w:tcPr>
          <w:p w14:paraId="46F16ACC">
            <w:pPr>
              <w:spacing w:line="264" w:lineRule="auto"/>
              <w:jc w:val="left"/>
              <w:rPr>
                <w:rFonts w:hint="eastAsia" w:ascii="楷体" w:hAnsi="楷体" w:eastAsia="楷体" w:cs="楷体"/>
                <w:color w:val="000000"/>
                <w:sz w:val="24"/>
                <w:szCs w:val="24"/>
              </w:rPr>
            </w:pPr>
            <w:r>
              <w:rPr>
                <w:rFonts w:hint="eastAsia" w:ascii="楷体" w:hAnsi="楷体" w:eastAsia="楷体" w:cs="楷体"/>
                <w:sz w:val="24"/>
                <w:szCs w:val="24"/>
              </w:rPr>
              <w:t>通过课程学习培养学生：1.掌握各税种的法律法规的综合应用技能；2.掌握企业财务工作中税收筹划操作技能；3.掌握基于大数据税控风险防范的纳税筹划技能；4.培养学生适应快速变化要求的能力；为走上工作岗位打下一定的专业理论知识和技能基础。</w:t>
            </w:r>
          </w:p>
        </w:tc>
        <w:tc>
          <w:tcPr>
            <w:tcW w:w="1874" w:type="dxa"/>
            <w:vAlign w:val="center"/>
          </w:tcPr>
          <w:p w14:paraId="0806563A">
            <w:pPr>
              <w:spacing w:line="264" w:lineRule="auto"/>
              <w:jc w:val="left"/>
              <w:rPr>
                <w:rFonts w:hint="eastAsia" w:ascii="楷体" w:hAnsi="楷体" w:eastAsia="楷体" w:cs="楷体"/>
                <w:color w:val="000000"/>
                <w:sz w:val="24"/>
                <w:szCs w:val="24"/>
              </w:rPr>
            </w:pPr>
            <w:r>
              <w:rPr>
                <w:rFonts w:hint="eastAsia" w:ascii="楷体" w:hAnsi="楷体" w:eastAsia="楷体" w:cs="楷体"/>
                <w:sz w:val="24"/>
                <w:szCs w:val="24"/>
              </w:rPr>
              <w:t>1.税收筹划的原理和基本方法；2.各税种应纳税额计算；3.各税种享受的税收优惠类型及利用税收优惠进行税收筹划的方法；4.各税种税收筹划的具体操作方案；5.利用大数据税控风险防范技术进行纳税筹划。</w:t>
            </w:r>
          </w:p>
        </w:tc>
        <w:tc>
          <w:tcPr>
            <w:tcW w:w="2272" w:type="dxa"/>
            <w:vAlign w:val="center"/>
          </w:tcPr>
          <w:p w14:paraId="4EC81FD0">
            <w:pPr>
              <w:spacing w:line="264" w:lineRule="auto"/>
              <w:jc w:val="left"/>
              <w:rPr>
                <w:rFonts w:hint="eastAsia" w:ascii="楷体" w:hAnsi="楷体" w:eastAsia="楷体" w:cs="楷体"/>
                <w:color w:val="000000"/>
                <w:sz w:val="24"/>
                <w:szCs w:val="24"/>
              </w:rPr>
            </w:pPr>
            <w:r>
              <w:rPr>
                <w:rFonts w:hint="eastAsia" w:ascii="楷体" w:hAnsi="楷体" w:eastAsia="楷体" w:cs="楷体"/>
                <w:sz w:val="24"/>
                <w:szCs w:val="24"/>
              </w:rPr>
              <w:t>本课程结合税种和企业运行流程，根据课程标准和学生实际需求选择适当教学内容，借助网络资源和现代化教学手段，运用案例分析、小组讨论、讲练结合等多种教学方法，提高学生分析和解决企业税务问题的能力。</w:t>
            </w:r>
          </w:p>
        </w:tc>
        <w:tc>
          <w:tcPr>
            <w:tcW w:w="895" w:type="dxa"/>
            <w:vAlign w:val="center"/>
          </w:tcPr>
          <w:p w14:paraId="3ED5FED9">
            <w:pPr>
              <w:pStyle w:val="12"/>
              <w:rPr>
                <w:rFonts w:hint="eastAsia" w:ascii="楷体" w:hAnsi="楷体" w:eastAsia="楷体" w:cs="楷体"/>
                <w:color w:val="000000"/>
                <w:sz w:val="24"/>
                <w:szCs w:val="24"/>
              </w:rPr>
            </w:pPr>
          </w:p>
        </w:tc>
      </w:tr>
      <w:tr w14:paraId="6E9F93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59" w:type="dxa"/>
            <w:vAlign w:val="center"/>
          </w:tcPr>
          <w:p w14:paraId="328F8321">
            <w:pPr>
              <w:widowControl/>
              <w:jc w:val="center"/>
              <w:textAlignment w:val="center"/>
              <w:rPr>
                <w:rFonts w:hint="eastAsia" w:ascii="楷体" w:hAnsi="楷体" w:eastAsia="楷体" w:cs="楷体"/>
                <w:color w:val="000000"/>
                <w:sz w:val="24"/>
                <w:szCs w:val="24"/>
              </w:rPr>
            </w:pPr>
            <w:r>
              <w:rPr>
                <w:rFonts w:hint="eastAsia" w:ascii="楷体" w:hAnsi="楷体" w:eastAsia="楷体" w:cs="楷体"/>
                <w:color w:val="000000"/>
                <w:sz w:val="24"/>
                <w:szCs w:val="24"/>
                <w:lang w:bidi="ar"/>
              </w:rPr>
              <w:t>智慧化税费申报与管理</w:t>
            </w:r>
          </w:p>
        </w:tc>
        <w:tc>
          <w:tcPr>
            <w:tcW w:w="2017" w:type="dxa"/>
            <w:vAlign w:val="center"/>
          </w:tcPr>
          <w:p w14:paraId="079CAF3F">
            <w:pPr>
              <w:spacing w:line="264" w:lineRule="auto"/>
              <w:jc w:val="left"/>
              <w:rPr>
                <w:rFonts w:hint="eastAsia" w:ascii="楷体" w:hAnsi="楷体" w:eastAsia="楷体" w:cs="楷体"/>
                <w:color w:val="000000"/>
                <w:sz w:val="24"/>
                <w:szCs w:val="24"/>
              </w:rPr>
            </w:pPr>
            <w:r>
              <w:rPr>
                <w:rFonts w:hint="eastAsia" w:ascii="楷体" w:hAnsi="楷体" w:eastAsia="楷体" w:cs="楷体"/>
                <w:sz w:val="24"/>
                <w:szCs w:val="24"/>
              </w:rPr>
              <w:t>通过课程学习培养学生：1.掌握税法最新政策法规和财税之间的各项差异以及其处理方式；2.掌握各项差异的纳税调整方法；3.掌握利用大数据税控风险平台等实训系统进行纳税检查；4.提高学生实际动手能力和操作技巧；提高学生分析问题、解决问题的综合能力，为后续专业课的学习和今后所从事的涉税会计工作奠定坚实的基础。</w:t>
            </w:r>
          </w:p>
        </w:tc>
        <w:tc>
          <w:tcPr>
            <w:tcW w:w="1874" w:type="dxa"/>
            <w:vAlign w:val="center"/>
          </w:tcPr>
          <w:p w14:paraId="2E7519DE">
            <w:pPr>
              <w:spacing w:line="264" w:lineRule="auto"/>
              <w:jc w:val="left"/>
              <w:rPr>
                <w:rFonts w:hint="eastAsia" w:ascii="楷体" w:hAnsi="楷体" w:eastAsia="楷体" w:cs="楷体"/>
                <w:color w:val="000000"/>
                <w:sz w:val="24"/>
                <w:szCs w:val="24"/>
              </w:rPr>
            </w:pPr>
            <w:r>
              <w:rPr>
                <w:rFonts w:hint="eastAsia" w:ascii="楷体" w:hAnsi="楷体" w:eastAsia="楷体" w:cs="楷体"/>
                <w:sz w:val="24"/>
                <w:szCs w:val="24"/>
              </w:rPr>
              <w:t>1.税收前沿及最新税制；2.基于大数据税控平台等实训系统进行的税务稽查流程及方法；3.纳税申报前期准备；4.主要税种申报业务；5.综合申报业务。</w:t>
            </w:r>
          </w:p>
        </w:tc>
        <w:tc>
          <w:tcPr>
            <w:tcW w:w="2272" w:type="dxa"/>
            <w:vAlign w:val="center"/>
          </w:tcPr>
          <w:p w14:paraId="3771ABFF">
            <w:pPr>
              <w:spacing w:line="264" w:lineRule="auto"/>
              <w:jc w:val="left"/>
              <w:rPr>
                <w:rFonts w:hint="eastAsia" w:ascii="楷体" w:hAnsi="楷体" w:eastAsia="楷体" w:cs="楷体"/>
                <w:color w:val="000000"/>
                <w:sz w:val="24"/>
                <w:szCs w:val="24"/>
              </w:rPr>
            </w:pPr>
            <w:r>
              <w:rPr>
                <w:rFonts w:hint="eastAsia" w:ascii="楷体" w:hAnsi="楷体" w:eastAsia="楷体" w:cs="楷体"/>
                <w:sz w:val="24"/>
                <w:szCs w:val="24"/>
              </w:rPr>
              <w:t>根据课程标准和学生实际需求选择适当教学内容，借助网络资源和现代化教学手段，运用项目教学法、启发式、讨论式等教学方法，培养学生熟练掌握税务会计岗位的操作的能力。</w:t>
            </w:r>
          </w:p>
        </w:tc>
        <w:tc>
          <w:tcPr>
            <w:tcW w:w="895" w:type="dxa"/>
            <w:vAlign w:val="center"/>
          </w:tcPr>
          <w:p w14:paraId="7462B5D3">
            <w:pPr>
              <w:pStyle w:val="12"/>
              <w:rPr>
                <w:rFonts w:hint="eastAsia" w:ascii="楷体" w:hAnsi="楷体" w:eastAsia="楷体" w:cs="楷体"/>
                <w:color w:val="000000"/>
                <w:sz w:val="24"/>
                <w:szCs w:val="24"/>
              </w:rPr>
            </w:pPr>
          </w:p>
        </w:tc>
      </w:tr>
      <w:tr w14:paraId="7207D6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59" w:type="dxa"/>
            <w:vAlign w:val="center"/>
          </w:tcPr>
          <w:p w14:paraId="1E46B628">
            <w:pPr>
              <w:widowControl/>
              <w:jc w:val="center"/>
              <w:textAlignment w:val="center"/>
              <w:rPr>
                <w:rFonts w:hint="eastAsia" w:ascii="楷体" w:hAnsi="楷体" w:eastAsia="楷体" w:cs="楷体"/>
                <w:sz w:val="24"/>
                <w:szCs w:val="24"/>
              </w:rPr>
            </w:pPr>
            <w:r>
              <w:rPr>
                <w:rFonts w:hint="eastAsia" w:ascii="楷体" w:hAnsi="楷体" w:eastAsia="楷体" w:cs="楷体"/>
                <w:color w:val="000000"/>
                <w:sz w:val="24"/>
                <w:szCs w:val="24"/>
                <w:lang w:bidi="ar"/>
              </w:rPr>
              <w:t>会计专题</w:t>
            </w:r>
          </w:p>
        </w:tc>
        <w:tc>
          <w:tcPr>
            <w:tcW w:w="2017" w:type="dxa"/>
            <w:vAlign w:val="center"/>
          </w:tcPr>
          <w:p w14:paraId="4E24B16C">
            <w:pPr>
              <w:spacing w:line="264" w:lineRule="auto"/>
              <w:jc w:val="left"/>
              <w:rPr>
                <w:rFonts w:hint="eastAsia" w:ascii="楷体" w:hAnsi="楷体" w:eastAsia="楷体" w:cs="楷体"/>
                <w:sz w:val="24"/>
                <w:szCs w:val="24"/>
              </w:rPr>
            </w:pPr>
            <w:r>
              <w:rPr>
                <w:rFonts w:hint="eastAsia" w:ascii="楷体" w:hAnsi="楷体" w:eastAsia="楷体" w:cs="楷体"/>
                <w:sz w:val="24"/>
                <w:szCs w:val="24"/>
              </w:rPr>
              <w:t>通过课程学习培养学生：1.掌握财务会计基本理论和方法；</w:t>
            </w:r>
          </w:p>
          <w:p w14:paraId="625A765F">
            <w:pPr>
              <w:spacing w:line="264" w:lineRule="auto"/>
              <w:jc w:val="left"/>
              <w:rPr>
                <w:rFonts w:hint="eastAsia" w:ascii="楷体" w:hAnsi="楷体" w:eastAsia="楷体" w:cs="楷体"/>
                <w:sz w:val="24"/>
                <w:szCs w:val="24"/>
              </w:rPr>
            </w:pPr>
            <w:r>
              <w:rPr>
                <w:rFonts w:hint="eastAsia" w:ascii="楷体" w:hAnsi="楷体" w:eastAsia="楷体" w:cs="楷体"/>
                <w:sz w:val="24"/>
                <w:szCs w:val="24"/>
              </w:rPr>
              <w:t>2.掌握特殊经济业务和复杂经济业务的会计处理方法以及相关的理论；</w:t>
            </w:r>
          </w:p>
          <w:p w14:paraId="68790632">
            <w:pPr>
              <w:spacing w:line="264" w:lineRule="auto"/>
              <w:jc w:val="left"/>
              <w:rPr>
                <w:rFonts w:hint="eastAsia" w:ascii="楷体" w:hAnsi="楷体" w:eastAsia="楷体" w:cs="楷体"/>
                <w:sz w:val="24"/>
                <w:szCs w:val="24"/>
              </w:rPr>
            </w:pPr>
            <w:r>
              <w:rPr>
                <w:rFonts w:hint="eastAsia" w:ascii="楷体" w:hAnsi="楷体" w:eastAsia="楷体" w:cs="楷体"/>
                <w:sz w:val="24"/>
                <w:szCs w:val="24"/>
              </w:rPr>
              <w:t>3.全面提升学生的财务数据分析和业务处理能力；</w:t>
            </w:r>
          </w:p>
          <w:p w14:paraId="75C2EC32">
            <w:pPr>
              <w:spacing w:line="264" w:lineRule="auto"/>
              <w:jc w:val="left"/>
              <w:rPr>
                <w:rFonts w:hint="eastAsia" w:ascii="楷体" w:hAnsi="楷体" w:eastAsia="楷体" w:cs="楷体"/>
                <w:sz w:val="24"/>
                <w:szCs w:val="24"/>
              </w:rPr>
            </w:pPr>
            <w:r>
              <w:rPr>
                <w:rFonts w:hint="eastAsia" w:ascii="楷体" w:hAnsi="楷体" w:eastAsia="楷体" w:cs="楷体"/>
                <w:sz w:val="24"/>
                <w:szCs w:val="24"/>
              </w:rPr>
              <w:t>4.培养学生的会计职业素养，为后续的专业实习和毕业实践提供能力支撑。</w:t>
            </w:r>
          </w:p>
        </w:tc>
        <w:tc>
          <w:tcPr>
            <w:tcW w:w="1874" w:type="dxa"/>
            <w:vAlign w:val="center"/>
          </w:tcPr>
          <w:p w14:paraId="49C8AC5E">
            <w:pPr>
              <w:spacing w:line="264" w:lineRule="auto"/>
              <w:jc w:val="left"/>
              <w:rPr>
                <w:rFonts w:hint="eastAsia" w:ascii="楷体" w:hAnsi="楷体" w:eastAsia="楷体" w:cs="楷体"/>
                <w:sz w:val="24"/>
                <w:szCs w:val="24"/>
              </w:rPr>
            </w:pPr>
            <w:r>
              <w:rPr>
                <w:rFonts w:hint="eastAsia" w:ascii="楷体" w:hAnsi="楷体" w:eastAsia="楷体" w:cs="楷体"/>
                <w:sz w:val="24"/>
                <w:szCs w:val="24"/>
              </w:rPr>
              <w:t>1.资产减值的会计核算；2.长期股权投资的会计核算；3.金融工具的会计核算；4.非货币性资产交换的会计核算；5.债务重组的会计核算；6.借款费用的会计核算；7.资产负债表日后事项的会计核算；8.或有事项的会计核算；9.所得税会计的会计核算等项目内容。</w:t>
            </w:r>
          </w:p>
        </w:tc>
        <w:tc>
          <w:tcPr>
            <w:tcW w:w="2272" w:type="dxa"/>
            <w:vAlign w:val="center"/>
          </w:tcPr>
          <w:p w14:paraId="14C5F40E">
            <w:pPr>
              <w:spacing w:line="264" w:lineRule="auto"/>
              <w:jc w:val="left"/>
              <w:rPr>
                <w:rFonts w:hint="eastAsia" w:ascii="楷体" w:hAnsi="楷体" w:eastAsia="楷体" w:cs="楷体"/>
                <w:sz w:val="24"/>
                <w:szCs w:val="24"/>
              </w:rPr>
            </w:pPr>
            <w:r>
              <w:rPr>
                <w:rFonts w:hint="eastAsia" w:ascii="楷体" w:hAnsi="楷体" w:eastAsia="楷体" w:cs="楷体"/>
                <w:sz w:val="24"/>
                <w:szCs w:val="24"/>
              </w:rPr>
              <w:t>根据课程标准和学生实际需求选择适当教学内容，借助网络资源和现代化教学手段，运用案例分析、小组讨论、讲练结合等多种教学方法，让学生了解和掌握特殊经济业务</w:t>
            </w:r>
          </w:p>
        </w:tc>
        <w:tc>
          <w:tcPr>
            <w:tcW w:w="895" w:type="dxa"/>
            <w:vAlign w:val="center"/>
          </w:tcPr>
          <w:p w14:paraId="2AD8CD51">
            <w:pPr>
              <w:pStyle w:val="12"/>
              <w:rPr>
                <w:rFonts w:hint="eastAsia" w:ascii="楷体" w:hAnsi="楷体" w:eastAsia="楷体" w:cs="楷体"/>
                <w:color w:val="000000"/>
                <w:sz w:val="24"/>
                <w:szCs w:val="24"/>
              </w:rPr>
            </w:pPr>
          </w:p>
        </w:tc>
      </w:tr>
      <w:tr w14:paraId="041F69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59" w:type="dxa"/>
            <w:vAlign w:val="center"/>
          </w:tcPr>
          <w:p w14:paraId="5DE58C4E">
            <w:pPr>
              <w:spacing w:line="264" w:lineRule="auto"/>
              <w:jc w:val="center"/>
              <w:rPr>
                <w:rFonts w:hint="eastAsia" w:ascii="楷体" w:hAnsi="楷体" w:eastAsia="楷体" w:cs="楷体"/>
                <w:sz w:val="24"/>
                <w:szCs w:val="24"/>
              </w:rPr>
            </w:pPr>
            <w:r>
              <w:rPr>
                <w:rFonts w:hint="eastAsia" w:ascii="楷体" w:hAnsi="楷体" w:eastAsia="楷体" w:cs="楷体"/>
                <w:sz w:val="24"/>
                <w:szCs w:val="24"/>
              </w:rPr>
              <w:t>企业法律实务</w:t>
            </w:r>
          </w:p>
        </w:tc>
        <w:tc>
          <w:tcPr>
            <w:tcW w:w="2017" w:type="dxa"/>
            <w:vAlign w:val="center"/>
          </w:tcPr>
          <w:p w14:paraId="2A37005B">
            <w:pPr>
              <w:spacing w:line="264" w:lineRule="auto"/>
              <w:jc w:val="left"/>
              <w:rPr>
                <w:rFonts w:hint="eastAsia" w:ascii="楷体" w:hAnsi="楷体" w:eastAsia="楷体" w:cs="楷体"/>
                <w:sz w:val="24"/>
                <w:szCs w:val="24"/>
              </w:rPr>
            </w:pPr>
            <w:r>
              <w:rPr>
                <w:rFonts w:hint="eastAsia" w:ascii="楷体" w:hAnsi="楷体" w:eastAsia="楷体" w:cs="楷体"/>
                <w:sz w:val="24"/>
                <w:szCs w:val="24"/>
              </w:rPr>
              <w:t>1.掌握企业主要部门工作相关的基本法律制度的主要规定；2.具备在今后工作岗位中运用相关经济法律知识的能力；3.培养学生的法律思维，增强学生的社会主义经济法制观念和提高学生的职业素养。</w:t>
            </w:r>
          </w:p>
        </w:tc>
        <w:tc>
          <w:tcPr>
            <w:tcW w:w="1874" w:type="dxa"/>
            <w:vAlign w:val="center"/>
          </w:tcPr>
          <w:p w14:paraId="6A324784">
            <w:pPr>
              <w:spacing w:line="264" w:lineRule="auto"/>
              <w:jc w:val="left"/>
              <w:rPr>
                <w:rFonts w:hint="eastAsia" w:ascii="楷体" w:hAnsi="楷体" w:eastAsia="楷体" w:cs="楷体"/>
                <w:sz w:val="24"/>
                <w:szCs w:val="24"/>
              </w:rPr>
            </w:pPr>
            <w:r>
              <w:rPr>
                <w:rFonts w:hint="eastAsia" w:ascii="楷体" w:hAnsi="楷体" w:eastAsia="楷体" w:cs="楷体"/>
                <w:sz w:val="24"/>
                <w:szCs w:val="24"/>
              </w:rPr>
              <w:t>1.基础法律知识；2.企业组织及运行法律制度与实务；3.企业人力资源管理法律制度与实务；4.工业产权法律制度与实务；5.有关权益保护相关的法律制度与实务；6.企业经济纠纷解决法律途径。</w:t>
            </w:r>
          </w:p>
        </w:tc>
        <w:tc>
          <w:tcPr>
            <w:tcW w:w="2272" w:type="dxa"/>
            <w:vAlign w:val="center"/>
          </w:tcPr>
          <w:p w14:paraId="5856B81B">
            <w:pPr>
              <w:spacing w:line="264" w:lineRule="auto"/>
              <w:jc w:val="left"/>
              <w:rPr>
                <w:rFonts w:hint="eastAsia" w:ascii="楷体" w:hAnsi="楷体" w:eastAsia="楷体" w:cs="楷体"/>
                <w:sz w:val="24"/>
                <w:szCs w:val="24"/>
              </w:rPr>
            </w:pPr>
            <w:r>
              <w:rPr>
                <w:rFonts w:hint="eastAsia" w:ascii="楷体" w:hAnsi="楷体" w:eastAsia="楷体" w:cs="楷体"/>
                <w:sz w:val="24"/>
                <w:szCs w:val="24"/>
              </w:rPr>
              <w:t>本课程根据企业实际工作岗位和学生需求，结合课程标准和设计选择教学内容，借助网络资源和现代化教学手段，运用案例分析、小组讨论、模拟教学等多种教学方法，让学生了解和掌握与企业实际工作岗位相关的主要法律规定。</w:t>
            </w:r>
          </w:p>
        </w:tc>
        <w:tc>
          <w:tcPr>
            <w:tcW w:w="895" w:type="dxa"/>
            <w:vAlign w:val="center"/>
          </w:tcPr>
          <w:p w14:paraId="637FCFAD">
            <w:pPr>
              <w:pStyle w:val="12"/>
              <w:rPr>
                <w:rFonts w:hint="eastAsia" w:ascii="楷体" w:hAnsi="楷体" w:eastAsia="楷体" w:cs="楷体"/>
                <w:color w:val="000000"/>
                <w:sz w:val="24"/>
                <w:szCs w:val="24"/>
              </w:rPr>
            </w:pPr>
          </w:p>
        </w:tc>
      </w:tr>
      <w:tr w14:paraId="33B552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59" w:type="dxa"/>
            <w:vAlign w:val="center"/>
          </w:tcPr>
          <w:p w14:paraId="7437FE3B">
            <w:pPr>
              <w:spacing w:line="264" w:lineRule="auto"/>
              <w:jc w:val="center"/>
              <w:rPr>
                <w:rFonts w:hint="eastAsia" w:ascii="楷体" w:hAnsi="楷体" w:eastAsia="楷体" w:cs="楷体"/>
                <w:sz w:val="24"/>
                <w:szCs w:val="24"/>
              </w:rPr>
            </w:pPr>
            <w:r>
              <w:rPr>
                <w:rFonts w:hint="eastAsia" w:ascii="楷体" w:hAnsi="楷体" w:eastAsia="楷体" w:cs="楷体"/>
                <w:sz w:val="24"/>
                <w:szCs w:val="24"/>
              </w:rPr>
              <w:t>大数据审计</w:t>
            </w:r>
          </w:p>
        </w:tc>
        <w:tc>
          <w:tcPr>
            <w:tcW w:w="2017" w:type="dxa"/>
            <w:vAlign w:val="center"/>
          </w:tcPr>
          <w:p w14:paraId="37FE9401">
            <w:pPr>
              <w:spacing w:line="264" w:lineRule="auto"/>
              <w:jc w:val="left"/>
              <w:rPr>
                <w:rFonts w:hint="eastAsia" w:ascii="楷体" w:hAnsi="楷体" w:eastAsia="楷体" w:cs="楷体"/>
                <w:sz w:val="24"/>
                <w:szCs w:val="24"/>
              </w:rPr>
            </w:pPr>
            <w:r>
              <w:rPr>
                <w:rFonts w:hint="eastAsia" w:ascii="楷体" w:hAnsi="楷体" w:eastAsia="楷体" w:cs="楷体"/>
                <w:sz w:val="24"/>
                <w:szCs w:val="24"/>
              </w:rPr>
              <w:t>1.了解审计业务承接流程；</w:t>
            </w:r>
          </w:p>
          <w:p w14:paraId="560F231B">
            <w:pPr>
              <w:spacing w:line="264" w:lineRule="auto"/>
              <w:jc w:val="left"/>
              <w:rPr>
                <w:rFonts w:hint="eastAsia" w:ascii="楷体" w:hAnsi="楷体" w:eastAsia="楷体" w:cs="楷体"/>
                <w:sz w:val="24"/>
                <w:szCs w:val="24"/>
              </w:rPr>
            </w:pPr>
            <w:r>
              <w:rPr>
                <w:rFonts w:hint="eastAsia" w:ascii="楷体" w:hAnsi="楷体" w:eastAsia="楷体" w:cs="楷体"/>
                <w:sz w:val="24"/>
                <w:szCs w:val="24"/>
              </w:rPr>
              <w:t>2.掌握大数据审计业务的特点与基本方法；</w:t>
            </w:r>
          </w:p>
          <w:p w14:paraId="36355BF5">
            <w:pPr>
              <w:spacing w:line="264" w:lineRule="auto"/>
              <w:jc w:val="left"/>
              <w:rPr>
                <w:rFonts w:hint="eastAsia" w:ascii="楷体" w:hAnsi="楷体" w:eastAsia="楷体" w:cs="楷体"/>
                <w:sz w:val="24"/>
                <w:szCs w:val="24"/>
              </w:rPr>
            </w:pPr>
            <w:r>
              <w:rPr>
                <w:rFonts w:hint="eastAsia" w:ascii="楷体" w:hAnsi="楷体" w:eastAsia="楷体" w:cs="楷体"/>
                <w:sz w:val="24"/>
                <w:szCs w:val="24"/>
              </w:rPr>
              <w:t>3.掌握大数据审计案例分析方法；</w:t>
            </w:r>
          </w:p>
          <w:p w14:paraId="48A3E15A">
            <w:pPr>
              <w:spacing w:line="264" w:lineRule="auto"/>
              <w:jc w:val="left"/>
              <w:rPr>
                <w:rFonts w:hint="eastAsia" w:ascii="楷体" w:hAnsi="楷体" w:eastAsia="楷体" w:cs="楷体"/>
                <w:sz w:val="24"/>
                <w:szCs w:val="24"/>
              </w:rPr>
            </w:pPr>
            <w:r>
              <w:rPr>
                <w:rFonts w:hint="eastAsia" w:ascii="楷体" w:hAnsi="楷体" w:eastAsia="楷体" w:cs="楷体"/>
                <w:sz w:val="24"/>
                <w:szCs w:val="24"/>
              </w:rPr>
              <w:t>4.掌握审计报告编写方法，具备审计人员的职业道德。</w:t>
            </w:r>
          </w:p>
        </w:tc>
        <w:tc>
          <w:tcPr>
            <w:tcW w:w="1874" w:type="dxa"/>
            <w:vAlign w:val="center"/>
          </w:tcPr>
          <w:p w14:paraId="284CC216">
            <w:pPr>
              <w:spacing w:line="264" w:lineRule="auto"/>
              <w:jc w:val="left"/>
              <w:rPr>
                <w:rFonts w:hint="eastAsia" w:ascii="楷体" w:hAnsi="楷体" w:eastAsia="楷体" w:cs="楷体"/>
                <w:sz w:val="24"/>
                <w:szCs w:val="24"/>
              </w:rPr>
            </w:pPr>
            <w:r>
              <w:rPr>
                <w:rFonts w:hint="eastAsia" w:ascii="楷体" w:hAnsi="楷体" w:eastAsia="楷体" w:cs="楷体"/>
                <w:sz w:val="24"/>
                <w:szCs w:val="24"/>
              </w:rPr>
              <w:t>1.大数据审计基本原理、审计测试流程；</w:t>
            </w:r>
          </w:p>
          <w:p w14:paraId="10278663">
            <w:pPr>
              <w:spacing w:line="264" w:lineRule="auto"/>
              <w:jc w:val="left"/>
              <w:rPr>
                <w:rFonts w:hint="eastAsia" w:ascii="楷体" w:hAnsi="楷体" w:eastAsia="楷体" w:cs="楷体"/>
                <w:sz w:val="24"/>
                <w:szCs w:val="24"/>
              </w:rPr>
            </w:pPr>
            <w:r>
              <w:rPr>
                <w:rFonts w:hint="eastAsia" w:ascii="楷体" w:hAnsi="楷体" w:eastAsia="楷体" w:cs="楷体"/>
                <w:sz w:val="24"/>
                <w:szCs w:val="24"/>
              </w:rPr>
              <w:t>2.检查、观察、询问、函证、重新计算、重新执行及分析程序方法在大数据审计中的应用；</w:t>
            </w:r>
          </w:p>
          <w:p w14:paraId="4B5B81AB">
            <w:pPr>
              <w:spacing w:line="264" w:lineRule="auto"/>
              <w:jc w:val="left"/>
              <w:rPr>
                <w:rFonts w:hint="eastAsia" w:ascii="楷体" w:hAnsi="楷体" w:eastAsia="楷体" w:cs="楷体"/>
                <w:sz w:val="24"/>
                <w:szCs w:val="24"/>
              </w:rPr>
            </w:pPr>
            <w:r>
              <w:rPr>
                <w:rFonts w:hint="eastAsia" w:ascii="楷体" w:hAnsi="楷体" w:eastAsia="楷体" w:cs="楷体"/>
                <w:sz w:val="24"/>
                <w:szCs w:val="24"/>
              </w:rPr>
              <w:t>3.整理审计证据，评价审计结果，形成审计意见的方法。</w:t>
            </w:r>
          </w:p>
        </w:tc>
        <w:tc>
          <w:tcPr>
            <w:tcW w:w="2272" w:type="dxa"/>
            <w:vAlign w:val="center"/>
          </w:tcPr>
          <w:p w14:paraId="45EEAA5F">
            <w:pPr>
              <w:spacing w:line="264" w:lineRule="auto"/>
              <w:jc w:val="left"/>
              <w:rPr>
                <w:rFonts w:hint="eastAsia" w:ascii="楷体" w:hAnsi="楷体" w:eastAsia="楷体" w:cs="楷体"/>
                <w:sz w:val="24"/>
                <w:szCs w:val="24"/>
              </w:rPr>
            </w:pPr>
            <w:r>
              <w:rPr>
                <w:rFonts w:hint="eastAsia" w:ascii="楷体" w:hAnsi="楷体" w:eastAsia="楷体" w:cs="楷体"/>
                <w:sz w:val="24"/>
                <w:szCs w:val="24"/>
              </w:rPr>
              <w:t>运用网络资源、大数据等新技术，以学生为中心，运用项目教学法、情景教学法、讨论式等教学方法，提高学习能力、解决问题能力、风险识别等能力。</w:t>
            </w:r>
          </w:p>
        </w:tc>
        <w:tc>
          <w:tcPr>
            <w:tcW w:w="895" w:type="dxa"/>
            <w:vAlign w:val="center"/>
          </w:tcPr>
          <w:p w14:paraId="108BCBBC">
            <w:pPr>
              <w:pStyle w:val="12"/>
              <w:rPr>
                <w:rFonts w:hint="eastAsia" w:ascii="楷体" w:hAnsi="楷体" w:eastAsia="楷体" w:cs="楷体"/>
                <w:color w:val="000000"/>
                <w:sz w:val="24"/>
                <w:szCs w:val="24"/>
              </w:rPr>
            </w:pPr>
          </w:p>
        </w:tc>
      </w:tr>
    </w:tbl>
    <w:p w14:paraId="700A0198">
      <w:pPr>
        <w:outlineLvl w:val="0"/>
        <w:rPr>
          <w:rFonts w:ascii="黑体" w:hAnsi="黑体" w:eastAsia="黑体"/>
          <w:color w:val="000000"/>
          <w:sz w:val="28"/>
          <w:szCs w:val="28"/>
        </w:rPr>
      </w:pPr>
    </w:p>
    <w:p w14:paraId="6D38E9B9">
      <w:pPr>
        <w:outlineLvl w:val="0"/>
        <w:rPr>
          <w:rFonts w:ascii="黑体" w:hAnsi="黑体" w:eastAsia="黑体"/>
          <w:color w:val="000000"/>
          <w:sz w:val="28"/>
          <w:szCs w:val="28"/>
        </w:rPr>
      </w:pPr>
    </w:p>
    <w:p w14:paraId="04603016">
      <w:pPr>
        <w:outlineLvl w:val="0"/>
        <w:rPr>
          <w:rFonts w:ascii="黑体" w:hAnsi="黑体" w:eastAsia="黑体"/>
          <w:color w:val="000000"/>
          <w:sz w:val="28"/>
          <w:szCs w:val="28"/>
        </w:rPr>
      </w:pPr>
    </w:p>
    <w:p w14:paraId="064311DC">
      <w:pPr>
        <w:outlineLvl w:val="0"/>
        <w:rPr>
          <w:rFonts w:ascii="黑体" w:hAnsi="黑体" w:eastAsia="黑体"/>
          <w:color w:val="000000"/>
          <w:sz w:val="28"/>
          <w:szCs w:val="28"/>
        </w:rPr>
      </w:pPr>
    </w:p>
    <w:p w14:paraId="1666AA80">
      <w:pPr>
        <w:numPr>
          <w:ilvl w:val="0"/>
          <w:numId w:val="1"/>
        </w:numPr>
        <w:spacing w:before="189" w:line="360" w:lineRule="auto"/>
        <w:ind w:left="210"/>
        <w:rPr>
          <w:rFonts w:ascii="黑体" w:hAnsi="黑体" w:eastAsia="黑体"/>
          <w:color w:val="000000"/>
          <w:sz w:val="28"/>
          <w:szCs w:val="28"/>
        </w:rPr>
      </w:pPr>
      <w:r>
        <w:rPr>
          <w:rFonts w:ascii="黑体" w:hAnsi="黑体" w:eastAsia="黑体"/>
          <w:color w:val="000000"/>
          <w:sz w:val="28"/>
          <w:szCs w:val="28"/>
        </w:rPr>
        <w:t>教学进程</w:t>
      </w:r>
      <w:r>
        <w:rPr>
          <w:rFonts w:hint="eastAsia" w:ascii="黑体" w:hAnsi="黑体" w:eastAsia="黑体"/>
          <w:color w:val="000000"/>
          <w:sz w:val="28"/>
          <w:szCs w:val="28"/>
        </w:rPr>
        <w:t>总体</w:t>
      </w:r>
      <w:r>
        <w:rPr>
          <w:rFonts w:ascii="黑体" w:hAnsi="黑体" w:eastAsia="黑体"/>
          <w:color w:val="000000"/>
          <w:sz w:val="28"/>
          <w:szCs w:val="28"/>
        </w:rPr>
        <w:t>安排</w:t>
      </w:r>
    </w:p>
    <w:tbl>
      <w:tblPr>
        <w:tblStyle w:val="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7"/>
        <w:gridCol w:w="413"/>
        <w:gridCol w:w="1043"/>
        <w:gridCol w:w="494"/>
        <w:gridCol w:w="593"/>
        <w:gridCol w:w="528"/>
        <w:gridCol w:w="528"/>
        <w:gridCol w:w="528"/>
        <w:gridCol w:w="486"/>
        <w:gridCol w:w="486"/>
        <w:gridCol w:w="486"/>
        <w:gridCol w:w="486"/>
        <w:gridCol w:w="488"/>
        <w:gridCol w:w="511"/>
        <w:gridCol w:w="449"/>
        <w:gridCol w:w="413"/>
      </w:tblGrid>
      <w:tr w14:paraId="14304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C0BDD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课程类别</w:t>
            </w:r>
          </w:p>
        </w:tc>
        <w:tc>
          <w:tcPr>
            <w:tcW w:w="0" w:type="auto"/>
            <w:vMerge w:val="restart"/>
            <w:tcBorders>
              <w:top w:val="single" w:color="000000" w:sz="8" w:space="0"/>
              <w:left w:val="nil"/>
              <w:bottom w:val="single" w:color="000000" w:sz="8" w:space="0"/>
              <w:right w:val="single" w:color="000000" w:sz="8" w:space="0"/>
            </w:tcBorders>
            <w:shd w:val="clear" w:color="auto" w:fill="auto"/>
            <w:vAlign w:val="center"/>
          </w:tcPr>
          <w:p w14:paraId="047BD9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序号</w:t>
            </w:r>
          </w:p>
        </w:tc>
        <w:tc>
          <w:tcPr>
            <w:tcW w:w="0" w:type="auto"/>
            <w:vMerge w:val="restart"/>
            <w:tcBorders>
              <w:top w:val="single" w:color="000000" w:sz="8" w:space="0"/>
              <w:left w:val="nil"/>
              <w:bottom w:val="single" w:color="000000" w:sz="8" w:space="0"/>
              <w:right w:val="single" w:color="000000" w:sz="8" w:space="0"/>
            </w:tcBorders>
            <w:shd w:val="clear" w:color="auto" w:fill="auto"/>
            <w:vAlign w:val="center"/>
          </w:tcPr>
          <w:p w14:paraId="5C143C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课程名称</w:t>
            </w:r>
          </w:p>
        </w:tc>
        <w:tc>
          <w:tcPr>
            <w:tcW w:w="0" w:type="auto"/>
            <w:vMerge w:val="restart"/>
            <w:tcBorders>
              <w:top w:val="single" w:color="000000" w:sz="8" w:space="0"/>
              <w:left w:val="nil"/>
              <w:bottom w:val="single" w:color="000000" w:sz="8" w:space="0"/>
              <w:right w:val="single" w:color="000000" w:sz="8" w:space="0"/>
            </w:tcBorders>
            <w:shd w:val="clear" w:color="auto" w:fill="auto"/>
            <w:vAlign w:val="center"/>
          </w:tcPr>
          <w:p w14:paraId="3B2845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学分</w:t>
            </w:r>
          </w:p>
        </w:tc>
        <w:tc>
          <w:tcPr>
            <w:tcW w:w="0" w:type="auto"/>
            <w:vMerge w:val="restart"/>
            <w:tcBorders>
              <w:top w:val="single" w:color="000000" w:sz="8" w:space="0"/>
              <w:left w:val="nil"/>
              <w:bottom w:val="single" w:color="000000" w:sz="8" w:space="0"/>
              <w:right w:val="single" w:color="000000" w:sz="8" w:space="0"/>
            </w:tcBorders>
            <w:shd w:val="clear" w:color="auto" w:fill="auto"/>
            <w:vAlign w:val="center"/>
          </w:tcPr>
          <w:p w14:paraId="6AA14C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总学时</w:t>
            </w:r>
          </w:p>
        </w:tc>
        <w:tc>
          <w:tcPr>
            <w:tcW w:w="4015" w:type="dxa"/>
            <w:gridSpan w:val="8"/>
            <w:tcBorders>
              <w:top w:val="single" w:color="000000" w:sz="8" w:space="0"/>
              <w:left w:val="nil"/>
              <w:bottom w:val="single" w:color="000000" w:sz="8" w:space="0"/>
              <w:right w:val="single" w:color="000000" w:sz="8" w:space="0"/>
            </w:tcBorders>
            <w:shd w:val="clear" w:color="auto" w:fill="auto"/>
            <w:vAlign w:val="center"/>
          </w:tcPr>
          <w:p w14:paraId="0459D1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各学期学时分配</w:t>
            </w:r>
          </w:p>
        </w:tc>
        <w:tc>
          <w:tcPr>
            <w:tcW w:w="1372" w:type="dxa"/>
            <w:gridSpan w:val="3"/>
            <w:tcBorders>
              <w:top w:val="single" w:color="000000" w:sz="8" w:space="0"/>
              <w:left w:val="nil"/>
              <w:bottom w:val="single" w:color="000000" w:sz="8" w:space="0"/>
              <w:right w:val="single" w:color="000000" w:sz="8" w:space="0"/>
            </w:tcBorders>
            <w:shd w:val="clear" w:color="auto" w:fill="auto"/>
            <w:vAlign w:val="center"/>
          </w:tcPr>
          <w:p w14:paraId="317A71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考核方式</w:t>
            </w:r>
          </w:p>
        </w:tc>
      </w:tr>
      <w:tr w14:paraId="54A8D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153FB3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14:paraId="02EAE1E8">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14:paraId="6F4BF738">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14:paraId="70487DA9">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14:paraId="1AEDDDD4">
            <w:pPr>
              <w:jc w:val="center"/>
              <w:rPr>
                <w:rFonts w:hint="eastAsia" w:ascii="宋体" w:hAnsi="宋体" w:eastAsia="宋体" w:cs="宋体"/>
                <w:i w:val="0"/>
                <w:iCs w:val="0"/>
                <w:color w:val="000000"/>
                <w:sz w:val="18"/>
                <w:szCs w:val="18"/>
                <w:u w:val="none"/>
              </w:rPr>
            </w:pPr>
          </w:p>
        </w:tc>
        <w:tc>
          <w:tcPr>
            <w:tcW w:w="0" w:type="auto"/>
            <w:vMerge w:val="restart"/>
            <w:tcBorders>
              <w:top w:val="nil"/>
              <w:left w:val="nil"/>
              <w:bottom w:val="single" w:color="000000" w:sz="8" w:space="0"/>
              <w:right w:val="single" w:color="000000" w:sz="8" w:space="0"/>
            </w:tcBorders>
            <w:shd w:val="clear" w:color="auto" w:fill="auto"/>
            <w:vAlign w:val="center"/>
          </w:tcPr>
          <w:p w14:paraId="2D8829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线上教学</w:t>
            </w:r>
          </w:p>
        </w:tc>
        <w:tc>
          <w:tcPr>
            <w:tcW w:w="0" w:type="auto"/>
            <w:vMerge w:val="restart"/>
            <w:tcBorders>
              <w:top w:val="nil"/>
              <w:left w:val="nil"/>
              <w:bottom w:val="single" w:color="000000" w:sz="8" w:space="0"/>
              <w:right w:val="single" w:color="000000" w:sz="8" w:space="0"/>
            </w:tcBorders>
            <w:shd w:val="clear" w:color="auto" w:fill="auto"/>
            <w:vAlign w:val="center"/>
          </w:tcPr>
          <w:p w14:paraId="615466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线下教学</w:t>
            </w:r>
          </w:p>
        </w:tc>
        <w:tc>
          <w:tcPr>
            <w:tcW w:w="0" w:type="auto"/>
            <w:vMerge w:val="restart"/>
            <w:tcBorders>
              <w:top w:val="single" w:color="000000" w:sz="8" w:space="0"/>
              <w:left w:val="nil"/>
              <w:bottom w:val="single" w:color="000000" w:sz="8" w:space="0"/>
              <w:right w:val="single" w:color="000000" w:sz="8" w:space="0"/>
            </w:tcBorders>
            <w:shd w:val="clear" w:color="auto" w:fill="auto"/>
            <w:vAlign w:val="center"/>
          </w:tcPr>
          <w:p w14:paraId="3CA990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实验实训</w:t>
            </w:r>
          </w:p>
        </w:tc>
        <w:tc>
          <w:tcPr>
            <w:tcW w:w="0" w:type="auto"/>
            <w:vMerge w:val="restart"/>
            <w:tcBorders>
              <w:top w:val="single" w:color="000000" w:sz="8" w:space="0"/>
              <w:left w:val="nil"/>
              <w:bottom w:val="single" w:color="000000" w:sz="8" w:space="0"/>
              <w:right w:val="single" w:color="000000" w:sz="8" w:space="0"/>
            </w:tcBorders>
            <w:shd w:val="clear" w:color="auto" w:fill="auto"/>
            <w:vAlign w:val="center"/>
          </w:tcPr>
          <w:p w14:paraId="41D56D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5"/>
                <w:lang w:val="en-US" w:eastAsia="zh-CN" w:bidi="ar"/>
              </w:rPr>
              <w:t>一</w:t>
            </w:r>
          </w:p>
        </w:tc>
        <w:tc>
          <w:tcPr>
            <w:tcW w:w="0" w:type="auto"/>
            <w:vMerge w:val="restart"/>
            <w:tcBorders>
              <w:top w:val="single" w:color="000000" w:sz="8" w:space="0"/>
              <w:left w:val="nil"/>
              <w:bottom w:val="single" w:color="000000" w:sz="8" w:space="0"/>
              <w:right w:val="single" w:color="000000" w:sz="8" w:space="0"/>
            </w:tcBorders>
            <w:shd w:val="clear" w:color="auto" w:fill="auto"/>
            <w:vAlign w:val="center"/>
          </w:tcPr>
          <w:p w14:paraId="12D052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二</w:t>
            </w:r>
          </w:p>
        </w:tc>
        <w:tc>
          <w:tcPr>
            <w:tcW w:w="0" w:type="auto"/>
            <w:vMerge w:val="restart"/>
            <w:tcBorders>
              <w:top w:val="single" w:color="000000" w:sz="8" w:space="0"/>
              <w:left w:val="nil"/>
              <w:bottom w:val="single" w:color="000000" w:sz="8" w:space="0"/>
              <w:right w:val="single" w:color="000000" w:sz="8" w:space="0"/>
            </w:tcBorders>
            <w:shd w:val="clear" w:color="auto" w:fill="auto"/>
            <w:vAlign w:val="center"/>
          </w:tcPr>
          <w:p w14:paraId="682A8B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三</w:t>
            </w:r>
          </w:p>
        </w:tc>
        <w:tc>
          <w:tcPr>
            <w:tcW w:w="0" w:type="auto"/>
            <w:vMerge w:val="restart"/>
            <w:tcBorders>
              <w:top w:val="single" w:color="000000" w:sz="8" w:space="0"/>
              <w:left w:val="nil"/>
              <w:bottom w:val="single" w:color="000000" w:sz="8" w:space="0"/>
              <w:right w:val="single" w:color="000000" w:sz="8" w:space="0"/>
            </w:tcBorders>
            <w:shd w:val="clear" w:color="auto" w:fill="auto"/>
            <w:vAlign w:val="center"/>
          </w:tcPr>
          <w:p w14:paraId="0DB804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四</w:t>
            </w:r>
          </w:p>
        </w:tc>
        <w:tc>
          <w:tcPr>
            <w:tcW w:w="487" w:type="dxa"/>
            <w:vMerge w:val="restart"/>
            <w:tcBorders>
              <w:top w:val="single" w:color="000000" w:sz="8" w:space="0"/>
              <w:left w:val="nil"/>
              <w:bottom w:val="single" w:color="000000" w:sz="8" w:space="0"/>
              <w:right w:val="single" w:color="000000" w:sz="8" w:space="0"/>
            </w:tcBorders>
            <w:shd w:val="clear" w:color="auto" w:fill="auto"/>
            <w:vAlign w:val="center"/>
          </w:tcPr>
          <w:p w14:paraId="2C2E3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五</w:t>
            </w:r>
          </w:p>
        </w:tc>
        <w:tc>
          <w:tcPr>
            <w:tcW w:w="510" w:type="dxa"/>
            <w:vMerge w:val="restart"/>
            <w:tcBorders>
              <w:top w:val="single" w:color="000000" w:sz="8" w:space="0"/>
              <w:left w:val="nil"/>
              <w:bottom w:val="single" w:color="000000" w:sz="8" w:space="0"/>
              <w:right w:val="single" w:color="000000" w:sz="8" w:space="0"/>
            </w:tcBorders>
            <w:shd w:val="clear" w:color="auto" w:fill="auto"/>
            <w:vAlign w:val="center"/>
          </w:tcPr>
          <w:p w14:paraId="4729DE78">
            <w:pPr>
              <w:keepNext w:val="0"/>
              <w:keepLines w:val="0"/>
              <w:widowControl/>
              <w:suppressLineNumbers w:val="0"/>
              <w:jc w:val="center"/>
              <w:textAlignment w:val="center"/>
              <w:rPr>
                <w:rStyle w:val="14"/>
                <w:rFonts w:hint="eastAsia"/>
                <w:lang w:val="en-US" w:eastAsia="zh-CN" w:bidi="ar"/>
              </w:rPr>
            </w:pPr>
            <w:r>
              <w:rPr>
                <w:rStyle w:val="14"/>
                <w:lang w:val="en-US" w:eastAsia="zh-CN" w:bidi="ar"/>
              </w:rPr>
              <w:t>过程性考 核</w:t>
            </w:r>
          </w:p>
        </w:tc>
        <w:tc>
          <w:tcPr>
            <w:tcW w:w="0" w:type="auto"/>
            <w:gridSpan w:val="2"/>
            <w:tcBorders>
              <w:top w:val="single" w:color="000000" w:sz="8" w:space="0"/>
              <w:left w:val="nil"/>
              <w:bottom w:val="single" w:color="000000" w:sz="8" w:space="0"/>
              <w:right w:val="single" w:color="000000" w:sz="8" w:space="0"/>
            </w:tcBorders>
            <w:shd w:val="clear" w:color="auto" w:fill="auto"/>
            <w:vAlign w:val="center"/>
          </w:tcPr>
          <w:p w14:paraId="424FD0A5">
            <w:pPr>
              <w:keepNext w:val="0"/>
              <w:keepLines w:val="0"/>
              <w:widowControl/>
              <w:suppressLineNumbers w:val="0"/>
              <w:jc w:val="center"/>
              <w:textAlignment w:val="center"/>
              <w:rPr>
                <w:rStyle w:val="14"/>
                <w:rFonts w:hint="eastAsia"/>
                <w:lang w:val="en-US" w:eastAsia="zh-CN" w:bidi="ar"/>
              </w:rPr>
            </w:pPr>
            <w:r>
              <w:rPr>
                <w:rStyle w:val="14"/>
                <w:lang w:val="en-US" w:eastAsia="zh-CN" w:bidi="ar"/>
              </w:rPr>
              <w:t>终结性考核</w:t>
            </w:r>
          </w:p>
        </w:tc>
      </w:tr>
      <w:tr w14:paraId="731B0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2D2F00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14:paraId="272AAE72">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14:paraId="742A128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14:paraId="29C927E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14:paraId="332FDE4F">
            <w:pPr>
              <w:jc w:val="center"/>
              <w:rPr>
                <w:rFonts w:hint="eastAsia" w:ascii="宋体" w:hAnsi="宋体" w:eastAsia="宋体" w:cs="宋体"/>
                <w:i w:val="0"/>
                <w:iCs w:val="0"/>
                <w:color w:val="000000"/>
                <w:sz w:val="18"/>
                <w:szCs w:val="18"/>
                <w:u w:val="none"/>
              </w:rPr>
            </w:pPr>
          </w:p>
        </w:tc>
        <w:tc>
          <w:tcPr>
            <w:tcW w:w="0" w:type="auto"/>
            <w:vMerge w:val="continue"/>
            <w:tcBorders>
              <w:top w:val="nil"/>
              <w:left w:val="nil"/>
              <w:bottom w:val="single" w:color="000000" w:sz="8" w:space="0"/>
              <w:right w:val="single" w:color="000000" w:sz="8" w:space="0"/>
            </w:tcBorders>
            <w:shd w:val="clear" w:color="auto" w:fill="auto"/>
            <w:vAlign w:val="center"/>
          </w:tcPr>
          <w:p w14:paraId="6FC39F46">
            <w:pPr>
              <w:jc w:val="center"/>
              <w:rPr>
                <w:rFonts w:hint="eastAsia" w:ascii="宋体" w:hAnsi="宋体" w:eastAsia="宋体" w:cs="宋体"/>
                <w:i w:val="0"/>
                <w:iCs w:val="0"/>
                <w:color w:val="000000"/>
                <w:sz w:val="18"/>
                <w:szCs w:val="18"/>
                <w:u w:val="none"/>
              </w:rPr>
            </w:pPr>
          </w:p>
        </w:tc>
        <w:tc>
          <w:tcPr>
            <w:tcW w:w="0" w:type="auto"/>
            <w:vMerge w:val="continue"/>
            <w:tcBorders>
              <w:top w:val="nil"/>
              <w:left w:val="nil"/>
              <w:bottom w:val="single" w:color="000000" w:sz="8" w:space="0"/>
              <w:right w:val="single" w:color="000000" w:sz="8" w:space="0"/>
            </w:tcBorders>
            <w:shd w:val="clear" w:color="auto" w:fill="auto"/>
            <w:vAlign w:val="center"/>
          </w:tcPr>
          <w:p w14:paraId="04F85269">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14:paraId="1824C60C">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14:paraId="715C1A1B">
            <w:pPr>
              <w:jc w:val="center"/>
              <w:rPr>
                <w:rFonts w:hint="eastAsia" w:ascii="宋体" w:hAnsi="宋体" w:eastAsia="宋体" w:cs="宋体"/>
                <w:i w:val="0"/>
                <w:iCs w:val="0"/>
                <w:color w:val="000000"/>
                <w:sz w:val="21"/>
                <w:szCs w:val="21"/>
                <w:u w:val="none"/>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14:paraId="73ECEB47">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14:paraId="5A720D2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14:paraId="42FFAECF">
            <w:pPr>
              <w:jc w:val="center"/>
              <w:rPr>
                <w:rFonts w:hint="eastAsia" w:ascii="宋体" w:hAnsi="宋体" w:eastAsia="宋体" w:cs="宋体"/>
                <w:i w:val="0"/>
                <w:iCs w:val="0"/>
                <w:color w:val="000000"/>
                <w:sz w:val="18"/>
                <w:szCs w:val="18"/>
                <w:u w:val="none"/>
              </w:rPr>
            </w:pPr>
          </w:p>
        </w:tc>
        <w:tc>
          <w:tcPr>
            <w:tcW w:w="487" w:type="dxa"/>
            <w:vMerge w:val="continue"/>
            <w:tcBorders>
              <w:top w:val="single" w:color="000000" w:sz="8" w:space="0"/>
              <w:left w:val="nil"/>
              <w:bottom w:val="single" w:color="000000" w:sz="8" w:space="0"/>
              <w:right w:val="single" w:color="000000" w:sz="8" w:space="0"/>
            </w:tcBorders>
            <w:shd w:val="clear" w:color="auto" w:fill="auto"/>
            <w:vAlign w:val="center"/>
          </w:tcPr>
          <w:p w14:paraId="2CC138F7">
            <w:pPr>
              <w:jc w:val="center"/>
              <w:rPr>
                <w:rFonts w:hint="eastAsia" w:ascii="宋体" w:hAnsi="宋体" w:eastAsia="宋体" w:cs="宋体"/>
                <w:i w:val="0"/>
                <w:iCs w:val="0"/>
                <w:color w:val="000000"/>
                <w:sz w:val="18"/>
                <w:szCs w:val="18"/>
                <w:u w:val="none"/>
              </w:rPr>
            </w:pPr>
          </w:p>
        </w:tc>
        <w:tc>
          <w:tcPr>
            <w:tcW w:w="510" w:type="dxa"/>
            <w:vMerge w:val="continue"/>
            <w:tcBorders>
              <w:top w:val="single" w:color="000000" w:sz="8" w:space="0"/>
              <w:left w:val="nil"/>
              <w:bottom w:val="single" w:color="000000" w:sz="8" w:space="0"/>
              <w:right w:val="single" w:color="000000" w:sz="8" w:space="0"/>
            </w:tcBorders>
            <w:shd w:val="clear" w:color="auto" w:fill="auto"/>
            <w:vAlign w:val="center"/>
          </w:tcPr>
          <w:p w14:paraId="2F139105">
            <w:pPr>
              <w:keepNext w:val="0"/>
              <w:keepLines w:val="0"/>
              <w:widowControl/>
              <w:suppressLineNumbers w:val="0"/>
              <w:jc w:val="center"/>
              <w:textAlignment w:val="center"/>
              <w:rPr>
                <w:rStyle w:val="14"/>
                <w:rFonts w:hint="eastAsia"/>
                <w:lang w:val="en-US" w:eastAsia="zh-CN" w:bidi="ar"/>
              </w:rPr>
            </w:pPr>
          </w:p>
        </w:tc>
        <w:tc>
          <w:tcPr>
            <w:tcW w:w="0" w:type="auto"/>
            <w:tcBorders>
              <w:top w:val="nil"/>
              <w:left w:val="nil"/>
              <w:bottom w:val="single" w:color="000000" w:sz="8" w:space="0"/>
              <w:right w:val="single" w:color="000000" w:sz="8" w:space="0"/>
            </w:tcBorders>
            <w:shd w:val="clear" w:color="auto" w:fill="auto"/>
            <w:vAlign w:val="center"/>
          </w:tcPr>
          <w:p w14:paraId="485EC886">
            <w:pPr>
              <w:keepNext w:val="0"/>
              <w:keepLines w:val="0"/>
              <w:widowControl/>
              <w:suppressLineNumbers w:val="0"/>
              <w:jc w:val="center"/>
              <w:textAlignment w:val="center"/>
              <w:rPr>
                <w:rStyle w:val="14"/>
                <w:rFonts w:hint="eastAsia"/>
                <w:lang w:val="en-US" w:eastAsia="zh-CN" w:bidi="ar"/>
              </w:rPr>
            </w:pPr>
            <w:r>
              <w:rPr>
                <w:rStyle w:val="14"/>
                <w:lang w:val="en-US" w:eastAsia="zh-CN" w:bidi="ar"/>
              </w:rPr>
              <w:t>闭卷</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477A3EBE">
            <w:pPr>
              <w:keepNext w:val="0"/>
              <w:keepLines w:val="0"/>
              <w:widowControl/>
              <w:suppressLineNumbers w:val="0"/>
              <w:jc w:val="center"/>
              <w:textAlignment w:val="center"/>
              <w:rPr>
                <w:rStyle w:val="14"/>
                <w:rFonts w:hint="eastAsia"/>
                <w:lang w:val="en-US" w:eastAsia="zh-CN" w:bidi="ar"/>
              </w:rPr>
            </w:pPr>
            <w:r>
              <w:rPr>
                <w:rStyle w:val="14"/>
                <w:lang w:val="en-US" w:eastAsia="zh-CN" w:bidi="ar"/>
              </w:rPr>
              <w:t>开卷</w:t>
            </w:r>
          </w:p>
        </w:tc>
      </w:tr>
      <w:tr w14:paraId="6688E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621EE4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公共基础课</w:t>
            </w:r>
          </w:p>
        </w:tc>
        <w:tc>
          <w:tcPr>
            <w:tcW w:w="0" w:type="auto"/>
            <w:tcBorders>
              <w:top w:val="nil"/>
              <w:left w:val="nil"/>
              <w:bottom w:val="single" w:color="000000" w:sz="8" w:space="0"/>
              <w:right w:val="single" w:color="000000" w:sz="8" w:space="0"/>
            </w:tcBorders>
            <w:shd w:val="clear" w:color="auto" w:fill="auto"/>
            <w:vAlign w:val="center"/>
          </w:tcPr>
          <w:p w14:paraId="1F41AE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nil"/>
              <w:left w:val="nil"/>
              <w:bottom w:val="single" w:color="000000" w:sz="8" w:space="0"/>
              <w:right w:val="single" w:color="000000" w:sz="8" w:space="0"/>
            </w:tcBorders>
            <w:shd w:val="clear" w:color="auto" w:fill="auto"/>
            <w:vAlign w:val="center"/>
          </w:tcPr>
          <w:p w14:paraId="216B89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毛泽东思想和中国特色社会主义理论体系概论</w:t>
            </w:r>
          </w:p>
        </w:tc>
        <w:tc>
          <w:tcPr>
            <w:tcW w:w="0" w:type="auto"/>
            <w:tcBorders>
              <w:top w:val="nil"/>
              <w:left w:val="nil"/>
              <w:bottom w:val="single" w:color="000000" w:sz="8" w:space="0"/>
              <w:right w:val="single" w:color="000000" w:sz="8" w:space="0"/>
            </w:tcBorders>
            <w:shd w:val="clear" w:color="auto" w:fill="auto"/>
            <w:vAlign w:val="center"/>
          </w:tcPr>
          <w:p w14:paraId="6EBE06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nil"/>
              <w:left w:val="nil"/>
              <w:bottom w:val="single" w:color="000000" w:sz="8" w:space="0"/>
              <w:right w:val="single" w:color="000000" w:sz="8" w:space="0"/>
            </w:tcBorders>
            <w:shd w:val="clear" w:color="auto" w:fill="auto"/>
            <w:vAlign w:val="center"/>
          </w:tcPr>
          <w:p w14:paraId="4979F5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nil"/>
              <w:left w:val="nil"/>
              <w:bottom w:val="single" w:color="000000" w:sz="8" w:space="0"/>
              <w:right w:val="single" w:color="000000" w:sz="8" w:space="0"/>
            </w:tcBorders>
            <w:shd w:val="clear" w:color="auto" w:fill="auto"/>
            <w:vAlign w:val="center"/>
          </w:tcPr>
          <w:p w14:paraId="5A2259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0" w:type="auto"/>
            <w:tcBorders>
              <w:top w:val="nil"/>
              <w:left w:val="nil"/>
              <w:bottom w:val="single" w:color="000000" w:sz="8" w:space="0"/>
              <w:right w:val="single" w:color="000000" w:sz="8" w:space="0"/>
            </w:tcBorders>
            <w:shd w:val="clear" w:color="auto" w:fill="auto"/>
            <w:vAlign w:val="center"/>
          </w:tcPr>
          <w:p w14:paraId="7767A6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6BF7D476">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20F95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nil"/>
              <w:left w:val="nil"/>
              <w:bottom w:val="single" w:color="000000" w:sz="8" w:space="0"/>
              <w:right w:val="single" w:color="000000" w:sz="8" w:space="0"/>
            </w:tcBorders>
            <w:shd w:val="clear" w:color="auto" w:fill="auto"/>
            <w:vAlign w:val="center"/>
          </w:tcPr>
          <w:p w14:paraId="76891466">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5CF0BFFE">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79AA77A6">
            <w:pPr>
              <w:jc w:val="center"/>
              <w:rPr>
                <w:rFonts w:hint="eastAsia" w:ascii="宋体" w:hAnsi="宋体" w:eastAsia="宋体" w:cs="宋体"/>
                <w:i w:val="0"/>
                <w:iCs w:val="0"/>
                <w:color w:val="000000"/>
                <w:sz w:val="18"/>
                <w:szCs w:val="18"/>
                <w:u w:val="none"/>
              </w:rPr>
            </w:pPr>
          </w:p>
        </w:tc>
        <w:tc>
          <w:tcPr>
            <w:tcW w:w="487" w:type="dxa"/>
            <w:tcBorders>
              <w:top w:val="nil"/>
              <w:left w:val="nil"/>
              <w:bottom w:val="single" w:color="000000" w:sz="8" w:space="0"/>
              <w:right w:val="single" w:color="000000" w:sz="8" w:space="0"/>
            </w:tcBorders>
            <w:shd w:val="clear" w:color="auto" w:fill="auto"/>
            <w:vAlign w:val="center"/>
          </w:tcPr>
          <w:p w14:paraId="6676C47A">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51A5C7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790B3D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2C08D002">
            <w:pPr>
              <w:jc w:val="center"/>
              <w:rPr>
                <w:rFonts w:hint="eastAsia" w:ascii="Arial" w:hAnsi="Arial" w:eastAsia="宋体" w:cs="Arial"/>
                <w:i w:val="0"/>
                <w:iCs w:val="0"/>
                <w:color w:val="000000"/>
                <w:sz w:val="21"/>
                <w:szCs w:val="21"/>
                <w:u w:val="none"/>
              </w:rPr>
            </w:pPr>
          </w:p>
        </w:tc>
      </w:tr>
      <w:tr w14:paraId="408D0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160CCE6A">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285A89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nil"/>
              <w:left w:val="nil"/>
              <w:bottom w:val="single" w:color="000000" w:sz="8" w:space="0"/>
              <w:right w:val="single" w:color="000000" w:sz="8" w:space="0"/>
            </w:tcBorders>
            <w:shd w:val="clear" w:color="auto" w:fill="auto"/>
            <w:vAlign w:val="center"/>
          </w:tcPr>
          <w:p w14:paraId="538EF3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思想道德与法治</w:t>
            </w:r>
          </w:p>
        </w:tc>
        <w:tc>
          <w:tcPr>
            <w:tcW w:w="0" w:type="auto"/>
            <w:tcBorders>
              <w:top w:val="nil"/>
              <w:left w:val="nil"/>
              <w:bottom w:val="single" w:color="000000" w:sz="8" w:space="0"/>
              <w:right w:val="single" w:color="000000" w:sz="8" w:space="0"/>
            </w:tcBorders>
            <w:shd w:val="clear" w:color="auto" w:fill="auto"/>
            <w:vAlign w:val="center"/>
          </w:tcPr>
          <w:p w14:paraId="58BEAD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nil"/>
              <w:left w:val="nil"/>
              <w:bottom w:val="single" w:color="000000" w:sz="8" w:space="0"/>
              <w:right w:val="single" w:color="000000" w:sz="8" w:space="0"/>
            </w:tcBorders>
            <w:shd w:val="clear" w:color="auto" w:fill="auto"/>
            <w:vAlign w:val="center"/>
          </w:tcPr>
          <w:p w14:paraId="0EA659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nil"/>
              <w:left w:val="nil"/>
              <w:bottom w:val="single" w:color="000000" w:sz="8" w:space="0"/>
              <w:right w:val="single" w:color="000000" w:sz="8" w:space="0"/>
            </w:tcBorders>
            <w:shd w:val="clear" w:color="auto" w:fill="auto"/>
            <w:vAlign w:val="center"/>
          </w:tcPr>
          <w:p w14:paraId="25C14B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0" w:type="auto"/>
            <w:tcBorders>
              <w:top w:val="nil"/>
              <w:left w:val="nil"/>
              <w:bottom w:val="single" w:color="000000" w:sz="8" w:space="0"/>
              <w:right w:val="single" w:color="000000" w:sz="8" w:space="0"/>
            </w:tcBorders>
            <w:shd w:val="clear" w:color="auto" w:fill="auto"/>
            <w:vAlign w:val="center"/>
          </w:tcPr>
          <w:p w14:paraId="53E516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nil"/>
              <w:left w:val="nil"/>
              <w:bottom w:val="single" w:color="000000" w:sz="8" w:space="0"/>
              <w:right w:val="single" w:color="000000" w:sz="8" w:space="0"/>
            </w:tcBorders>
            <w:shd w:val="clear" w:color="auto" w:fill="auto"/>
            <w:vAlign w:val="center"/>
          </w:tcPr>
          <w:p w14:paraId="62338317">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1B4AA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nil"/>
              <w:left w:val="nil"/>
              <w:bottom w:val="single" w:color="000000" w:sz="8" w:space="0"/>
              <w:right w:val="single" w:color="000000" w:sz="8" w:space="0"/>
            </w:tcBorders>
            <w:shd w:val="clear" w:color="auto" w:fill="auto"/>
            <w:vAlign w:val="center"/>
          </w:tcPr>
          <w:p w14:paraId="1011EADA">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67D84462">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535BB18">
            <w:pPr>
              <w:jc w:val="center"/>
              <w:rPr>
                <w:rFonts w:hint="eastAsia" w:ascii="宋体" w:hAnsi="宋体" w:eastAsia="宋体" w:cs="宋体"/>
                <w:i w:val="0"/>
                <w:iCs w:val="0"/>
                <w:color w:val="000000"/>
                <w:sz w:val="18"/>
                <w:szCs w:val="18"/>
                <w:u w:val="none"/>
              </w:rPr>
            </w:pPr>
          </w:p>
        </w:tc>
        <w:tc>
          <w:tcPr>
            <w:tcW w:w="487" w:type="dxa"/>
            <w:tcBorders>
              <w:top w:val="nil"/>
              <w:left w:val="nil"/>
              <w:bottom w:val="single" w:color="000000" w:sz="8" w:space="0"/>
              <w:right w:val="single" w:color="000000" w:sz="8" w:space="0"/>
            </w:tcBorders>
            <w:shd w:val="clear" w:color="auto" w:fill="auto"/>
            <w:vAlign w:val="center"/>
          </w:tcPr>
          <w:p w14:paraId="57467F48">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3E9B22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69369E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6A7CC759">
            <w:pPr>
              <w:jc w:val="center"/>
              <w:rPr>
                <w:rFonts w:hint="default" w:ascii="Arial" w:hAnsi="Arial" w:eastAsia="宋体" w:cs="Arial"/>
                <w:i w:val="0"/>
                <w:iCs w:val="0"/>
                <w:color w:val="000000"/>
                <w:sz w:val="21"/>
                <w:szCs w:val="21"/>
                <w:u w:val="none"/>
              </w:rPr>
            </w:pPr>
          </w:p>
        </w:tc>
      </w:tr>
      <w:tr w14:paraId="4055C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5"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02360ACD">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628D22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nil"/>
              <w:left w:val="nil"/>
              <w:bottom w:val="single" w:color="000000" w:sz="8" w:space="0"/>
              <w:right w:val="single" w:color="000000" w:sz="8" w:space="0"/>
            </w:tcBorders>
            <w:shd w:val="clear" w:color="auto" w:fill="auto"/>
            <w:vAlign w:val="center"/>
          </w:tcPr>
          <w:p w14:paraId="7F9257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习近平新时代中国特色社会主义思想概论</w:t>
            </w:r>
          </w:p>
        </w:tc>
        <w:tc>
          <w:tcPr>
            <w:tcW w:w="0" w:type="auto"/>
            <w:tcBorders>
              <w:top w:val="nil"/>
              <w:left w:val="nil"/>
              <w:bottom w:val="single" w:color="000000" w:sz="8" w:space="0"/>
              <w:right w:val="single" w:color="000000" w:sz="8" w:space="0"/>
            </w:tcBorders>
            <w:shd w:val="clear" w:color="auto" w:fill="auto"/>
            <w:vAlign w:val="center"/>
          </w:tcPr>
          <w:p w14:paraId="12C6FC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nil"/>
              <w:left w:val="nil"/>
              <w:bottom w:val="single" w:color="000000" w:sz="8" w:space="0"/>
              <w:right w:val="single" w:color="000000" w:sz="8" w:space="0"/>
            </w:tcBorders>
            <w:shd w:val="clear" w:color="auto" w:fill="auto"/>
            <w:vAlign w:val="center"/>
          </w:tcPr>
          <w:p w14:paraId="42B76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nil"/>
              <w:left w:val="nil"/>
              <w:bottom w:val="single" w:color="000000" w:sz="8" w:space="0"/>
              <w:right w:val="single" w:color="000000" w:sz="8" w:space="0"/>
            </w:tcBorders>
            <w:shd w:val="clear" w:color="auto" w:fill="auto"/>
            <w:vAlign w:val="center"/>
          </w:tcPr>
          <w:p w14:paraId="0CE6BA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0" w:type="auto"/>
            <w:tcBorders>
              <w:top w:val="nil"/>
              <w:left w:val="nil"/>
              <w:bottom w:val="single" w:color="000000" w:sz="8" w:space="0"/>
              <w:right w:val="single" w:color="000000" w:sz="8" w:space="0"/>
            </w:tcBorders>
            <w:shd w:val="clear" w:color="auto" w:fill="auto"/>
            <w:vAlign w:val="center"/>
          </w:tcPr>
          <w:p w14:paraId="64258F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nil"/>
              <w:left w:val="nil"/>
              <w:bottom w:val="single" w:color="000000" w:sz="8" w:space="0"/>
              <w:right w:val="single" w:color="000000" w:sz="8" w:space="0"/>
            </w:tcBorders>
            <w:shd w:val="clear" w:color="auto" w:fill="auto"/>
            <w:vAlign w:val="center"/>
          </w:tcPr>
          <w:p w14:paraId="518AE5EF">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481D839A">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4608B5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nil"/>
              <w:left w:val="nil"/>
              <w:bottom w:val="single" w:color="000000" w:sz="8" w:space="0"/>
              <w:right w:val="single" w:color="000000" w:sz="8" w:space="0"/>
            </w:tcBorders>
            <w:shd w:val="clear" w:color="auto" w:fill="auto"/>
            <w:vAlign w:val="center"/>
          </w:tcPr>
          <w:p w14:paraId="452A64E2">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6921457F">
            <w:pPr>
              <w:jc w:val="center"/>
              <w:rPr>
                <w:rFonts w:hint="eastAsia" w:ascii="宋体" w:hAnsi="宋体" w:eastAsia="宋体" w:cs="宋体"/>
                <w:i w:val="0"/>
                <w:iCs w:val="0"/>
                <w:color w:val="000000"/>
                <w:sz w:val="18"/>
                <w:szCs w:val="18"/>
                <w:u w:val="none"/>
              </w:rPr>
            </w:pPr>
          </w:p>
        </w:tc>
        <w:tc>
          <w:tcPr>
            <w:tcW w:w="487" w:type="dxa"/>
            <w:tcBorders>
              <w:top w:val="nil"/>
              <w:left w:val="nil"/>
              <w:bottom w:val="single" w:color="000000" w:sz="8" w:space="0"/>
              <w:right w:val="single" w:color="000000" w:sz="8" w:space="0"/>
            </w:tcBorders>
            <w:shd w:val="clear" w:color="auto" w:fill="auto"/>
            <w:vAlign w:val="center"/>
          </w:tcPr>
          <w:p w14:paraId="22AC92CC">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65AB28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4B6C01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33823D81">
            <w:pPr>
              <w:jc w:val="center"/>
              <w:rPr>
                <w:rFonts w:hint="default" w:ascii="Arial" w:hAnsi="Arial" w:eastAsia="宋体" w:cs="Arial"/>
                <w:i w:val="0"/>
                <w:iCs w:val="0"/>
                <w:color w:val="000000"/>
                <w:sz w:val="21"/>
                <w:szCs w:val="21"/>
                <w:u w:val="none"/>
              </w:rPr>
            </w:pPr>
          </w:p>
        </w:tc>
      </w:tr>
      <w:tr w14:paraId="7C5DC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3A0D04BD">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07CB30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nil"/>
              <w:left w:val="nil"/>
              <w:bottom w:val="single" w:color="000000" w:sz="8" w:space="0"/>
              <w:right w:val="single" w:color="000000" w:sz="8" w:space="0"/>
            </w:tcBorders>
            <w:shd w:val="clear" w:color="auto" w:fill="auto"/>
            <w:vAlign w:val="center"/>
          </w:tcPr>
          <w:p w14:paraId="2B1C9B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形势与政策教育（一～五）</w:t>
            </w:r>
          </w:p>
        </w:tc>
        <w:tc>
          <w:tcPr>
            <w:tcW w:w="0" w:type="auto"/>
            <w:tcBorders>
              <w:top w:val="nil"/>
              <w:left w:val="nil"/>
              <w:bottom w:val="single" w:color="000000" w:sz="8" w:space="0"/>
              <w:right w:val="single" w:color="000000" w:sz="8" w:space="0"/>
            </w:tcBorders>
            <w:shd w:val="clear" w:color="auto" w:fill="auto"/>
            <w:vAlign w:val="center"/>
          </w:tcPr>
          <w:p w14:paraId="667EF0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nil"/>
              <w:left w:val="nil"/>
              <w:bottom w:val="single" w:color="000000" w:sz="8" w:space="0"/>
              <w:right w:val="single" w:color="000000" w:sz="8" w:space="0"/>
            </w:tcBorders>
            <w:shd w:val="clear" w:color="auto" w:fill="auto"/>
            <w:vAlign w:val="center"/>
          </w:tcPr>
          <w:p w14:paraId="3C0ECF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nil"/>
              <w:left w:val="nil"/>
              <w:bottom w:val="single" w:color="000000" w:sz="8" w:space="0"/>
              <w:right w:val="single" w:color="000000" w:sz="8" w:space="0"/>
            </w:tcBorders>
            <w:shd w:val="clear" w:color="auto" w:fill="auto"/>
            <w:vAlign w:val="center"/>
          </w:tcPr>
          <w:p w14:paraId="4FB9CD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0" w:type="auto"/>
            <w:tcBorders>
              <w:top w:val="nil"/>
              <w:left w:val="nil"/>
              <w:bottom w:val="single" w:color="000000" w:sz="8" w:space="0"/>
              <w:right w:val="single" w:color="000000" w:sz="8" w:space="0"/>
            </w:tcBorders>
            <w:shd w:val="clear" w:color="auto" w:fill="auto"/>
            <w:vAlign w:val="center"/>
          </w:tcPr>
          <w:p w14:paraId="2838A5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52990325">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2948A041">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1E538E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nil"/>
              <w:left w:val="nil"/>
              <w:bottom w:val="single" w:color="000000" w:sz="8" w:space="0"/>
              <w:right w:val="single" w:color="000000" w:sz="8" w:space="0"/>
            </w:tcBorders>
            <w:shd w:val="clear" w:color="auto" w:fill="auto"/>
            <w:vAlign w:val="center"/>
          </w:tcPr>
          <w:p w14:paraId="5474FB1B">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61C14260">
            <w:pPr>
              <w:jc w:val="center"/>
              <w:rPr>
                <w:rFonts w:hint="eastAsia" w:ascii="宋体" w:hAnsi="宋体" w:eastAsia="宋体" w:cs="宋体"/>
                <w:i w:val="0"/>
                <w:iCs w:val="0"/>
                <w:color w:val="000000"/>
                <w:sz w:val="18"/>
                <w:szCs w:val="18"/>
                <w:u w:val="none"/>
              </w:rPr>
            </w:pPr>
          </w:p>
        </w:tc>
        <w:tc>
          <w:tcPr>
            <w:tcW w:w="487" w:type="dxa"/>
            <w:tcBorders>
              <w:top w:val="nil"/>
              <w:left w:val="nil"/>
              <w:bottom w:val="single" w:color="000000" w:sz="8" w:space="0"/>
              <w:right w:val="single" w:color="000000" w:sz="8" w:space="0"/>
            </w:tcBorders>
            <w:shd w:val="clear" w:color="auto" w:fill="auto"/>
            <w:vAlign w:val="center"/>
          </w:tcPr>
          <w:p w14:paraId="2BD57D7D">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40FD0F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119B137F">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8" w:space="0"/>
              <w:right w:val="single" w:color="000000" w:sz="8" w:space="0"/>
            </w:tcBorders>
            <w:shd w:val="clear" w:color="auto" w:fill="auto"/>
            <w:vAlign w:val="center"/>
          </w:tcPr>
          <w:p w14:paraId="70C1B1CE">
            <w:pPr>
              <w:jc w:val="center"/>
              <w:rPr>
                <w:rFonts w:hint="default" w:ascii="Arial" w:hAnsi="Arial" w:eastAsia="宋体" w:cs="Arial"/>
                <w:i w:val="0"/>
                <w:iCs w:val="0"/>
                <w:color w:val="000000"/>
                <w:sz w:val="21"/>
                <w:szCs w:val="21"/>
                <w:u w:val="none"/>
              </w:rPr>
            </w:pPr>
          </w:p>
        </w:tc>
      </w:tr>
      <w:tr w14:paraId="6AD4A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2CCE6E9C">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57608E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nil"/>
              <w:left w:val="nil"/>
              <w:bottom w:val="single" w:color="000000" w:sz="8" w:space="0"/>
              <w:right w:val="single" w:color="000000" w:sz="8" w:space="0"/>
            </w:tcBorders>
            <w:shd w:val="clear" w:color="auto" w:fill="auto"/>
            <w:vAlign w:val="center"/>
          </w:tcPr>
          <w:p w14:paraId="18E12C3B">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大学生心理健康教育</w:t>
            </w:r>
          </w:p>
        </w:tc>
        <w:tc>
          <w:tcPr>
            <w:tcW w:w="0" w:type="auto"/>
            <w:tcBorders>
              <w:top w:val="nil"/>
              <w:left w:val="nil"/>
              <w:bottom w:val="single" w:color="000000" w:sz="8" w:space="0"/>
              <w:right w:val="single" w:color="000000" w:sz="8" w:space="0"/>
            </w:tcBorders>
            <w:shd w:val="clear" w:color="auto" w:fill="auto"/>
            <w:vAlign w:val="center"/>
          </w:tcPr>
          <w:p w14:paraId="2D636DD6">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nil"/>
              <w:left w:val="nil"/>
              <w:bottom w:val="single" w:color="000000" w:sz="8" w:space="0"/>
              <w:right w:val="single" w:color="000000" w:sz="8" w:space="0"/>
            </w:tcBorders>
            <w:shd w:val="clear" w:color="auto" w:fill="auto"/>
            <w:vAlign w:val="center"/>
          </w:tcPr>
          <w:p w14:paraId="2E7F49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nil"/>
              <w:left w:val="nil"/>
              <w:bottom w:val="single" w:color="000000" w:sz="8" w:space="0"/>
              <w:right w:val="single" w:color="000000" w:sz="8" w:space="0"/>
            </w:tcBorders>
            <w:shd w:val="clear" w:color="auto" w:fill="auto"/>
            <w:vAlign w:val="center"/>
          </w:tcPr>
          <w:p w14:paraId="2DD15A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nil"/>
              <w:left w:val="nil"/>
              <w:bottom w:val="single" w:color="000000" w:sz="8" w:space="0"/>
              <w:right w:val="single" w:color="000000" w:sz="8" w:space="0"/>
            </w:tcBorders>
            <w:shd w:val="clear" w:color="auto" w:fill="auto"/>
            <w:vAlign w:val="center"/>
          </w:tcPr>
          <w:p w14:paraId="1DE8E8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nil"/>
              <w:left w:val="nil"/>
              <w:bottom w:val="single" w:color="000000" w:sz="8" w:space="0"/>
              <w:right w:val="single" w:color="000000" w:sz="8" w:space="0"/>
            </w:tcBorders>
            <w:shd w:val="clear" w:color="auto" w:fill="auto"/>
            <w:vAlign w:val="center"/>
          </w:tcPr>
          <w:p w14:paraId="73602B4E">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6CF094E3">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5C31C105">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18AB4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nil"/>
              <w:left w:val="nil"/>
              <w:bottom w:val="single" w:color="000000" w:sz="8" w:space="0"/>
              <w:right w:val="single" w:color="000000" w:sz="8" w:space="0"/>
            </w:tcBorders>
            <w:shd w:val="clear" w:color="auto" w:fill="auto"/>
            <w:vAlign w:val="center"/>
          </w:tcPr>
          <w:p w14:paraId="7A0E9F7E">
            <w:pPr>
              <w:jc w:val="center"/>
              <w:rPr>
                <w:rFonts w:hint="eastAsia" w:ascii="宋体" w:hAnsi="宋体" w:eastAsia="宋体" w:cs="宋体"/>
                <w:i w:val="0"/>
                <w:iCs w:val="0"/>
                <w:color w:val="000000"/>
                <w:sz w:val="18"/>
                <w:szCs w:val="18"/>
                <w:u w:val="none"/>
              </w:rPr>
            </w:pPr>
          </w:p>
        </w:tc>
        <w:tc>
          <w:tcPr>
            <w:tcW w:w="487" w:type="dxa"/>
            <w:tcBorders>
              <w:top w:val="nil"/>
              <w:left w:val="nil"/>
              <w:bottom w:val="single" w:color="000000" w:sz="8" w:space="0"/>
              <w:right w:val="single" w:color="000000" w:sz="8" w:space="0"/>
            </w:tcBorders>
            <w:shd w:val="clear" w:color="auto" w:fill="auto"/>
            <w:vAlign w:val="center"/>
          </w:tcPr>
          <w:p w14:paraId="7D5505A8">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2144FF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51EA8059">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8" w:space="0"/>
              <w:right w:val="single" w:color="000000" w:sz="8" w:space="0"/>
            </w:tcBorders>
            <w:shd w:val="clear" w:color="auto" w:fill="auto"/>
            <w:vAlign w:val="center"/>
          </w:tcPr>
          <w:p w14:paraId="6E0D9381">
            <w:pPr>
              <w:jc w:val="center"/>
              <w:rPr>
                <w:rFonts w:hint="default" w:ascii="Arial" w:hAnsi="Arial" w:eastAsia="宋体" w:cs="Arial"/>
                <w:i w:val="0"/>
                <w:iCs w:val="0"/>
                <w:color w:val="000000"/>
                <w:sz w:val="21"/>
                <w:szCs w:val="21"/>
                <w:u w:val="none"/>
              </w:rPr>
            </w:pPr>
          </w:p>
        </w:tc>
      </w:tr>
      <w:tr w14:paraId="6FDC9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65F513DE">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B4A77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23518B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信息技术基础</w:t>
            </w:r>
          </w:p>
        </w:tc>
        <w:tc>
          <w:tcPr>
            <w:tcW w:w="0" w:type="auto"/>
            <w:tcBorders>
              <w:top w:val="nil"/>
              <w:left w:val="nil"/>
              <w:bottom w:val="single" w:color="000000" w:sz="8" w:space="0"/>
              <w:right w:val="single" w:color="000000" w:sz="8" w:space="0"/>
            </w:tcBorders>
            <w:shd w:val="clear" w:color="auto" w:fill="auto"/>
            <w:vAlign w:val="center"/>
          </w:tcPr>
          <w:p w14:paraId="18C9B702">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nil"/>
              <w:left w:val="nil"/>
              <w:bottom w:val="single" w:color="000000" w:sz="8" w:space="0"/>
              <w:right w:val="single" w:color="000000" w:sz="8" w:space="0"/>
            </w:tcBorders>
            <w:shd w:val="clear" w:color="auto" w:fill="auto"/>
            <w:vAlign w:val="center"/>
          </w:tcPr>
          <w:p w14:paraId="3D8035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nil"/>
              <w:left w:val="nil"/>
              <w:bottom w:val="single" w:color="000000" w:sz="8" w:space="0"/>
              <w:right w:val="single" w:color="000000" w:sz="8" w:space="0"/>
            </w:tcBorders>
            <w:shd w:val="clear" w:color="auto" w:fill="auto"/>
            <w:vAlign w:val="center"/>
          </w:tcPr>
          <w:p w14:paraId="4D3267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nil"/>
              <w:left w:val="nil"/>
              <w:bottom w:val="single" w:color="000000" w:sz="8" w:space="0"/>
              <w:right w:val="single" w:color="000000" w:sz="8" w:space="0"/>
            </w:tcBorders>
            <w:shd w:val="clear" w:color="auto" w:fill="auto"/>
            <w:vAlign w:val="center"/>
          </w:tcPr>
          <w:p w14:paraId="48C7BB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nil"/>
              <w:left w:val="nil"/>
              <w:bottom w:val="single" w:color="000000" w:sz="8" w:space="0"/>
              <w:right w:val="single" w:color="000000" w:sz="8" w:space="0"/>
            </w:tcBorders>
            <w:shd w:val="clear" w:color="auto" w:fill="auto"/>
            <w:vAlign w:val="center"/>
          </w:tcPr>
          <w:p w14:paraId="3BFEFE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nil"/>
              <w:left w:val="nil"/>
              <w:bottom w:val="single" w:color="000000" w:sz="8" w:space="0"/>
              <w:right w:val="single" w:color="000000" w:sz="8" w:space="0"/>
            </w:tcBorders>
            <w:shd w:val="clear" w:color="auto" w:fill="auto"/>
            <w:vAlign w:val="center"/>
          </w:tcPr>
          <w:p w14:paraId="5B2C1930">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653456D5">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47785E6F">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1F03AD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487" w:type="dxa"/>
            <w:tcBorders>
              <w:top w:val="nil"/>
              <w:left w:val="nil"/>
              <w:bottom w:val="single" w:color="000000" w:sz="8" w:space="0"/>
              <w:right w:val="single" w:color="000000" w:sz="8" w:space="0"/>
            </w:tcBorders>
            <w:shd w:val="clear" w:color="auto" w:fill="auto"/>
            <w:vAlign w:val="center"/>
          </w:tcPr>
          <w:p w14:paraId="4D8D2497">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6373C5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5CCE1D19">
            <w:pPr>
              <w:jc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10EF8338">
            <w:pPr>
              <w:jc w:val="center"/>
              <w:rPr>
                <w:rFonts w:hint="default" w:ascii="Arial" w:hAnsi="Arial" w:eastAsia="宋体" w:cs="Arial"/>
                <w:i w:val="0"/>
                <w:iCs w:val="0"/>
                <w:color w:val="000000"/>
                <w:sz w:val="21"/>
                <w:szCs w:val="21"/>
                <w:u w:val="none"/>
              </w:rPr>
            </w:pPr>
          </w:p>
        </w:tc>
      </w:tr>
      <w:tr w14:paraId="3C4A3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694FE5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专业课</w:t>
            </w:r>
          </w:p>
        </w:tc>
        <w:tc>
          <w:tcPr>
            <w:tcW w:w="0" w:type="auto"/>
            <w:tcBorders>
              <w:top w:val="nil"/>
              <w:left w:val="nil"/>
              <w:bottom w:val="single" w:color="000000" w:sz="8" w:space="0"/>
              <w:right w:val="single" w:color="000000" w:sz="8" w:space="0"/>
            </w:tcBorders>
            <w:shd w:val="clear" w:color="auto" w:fill="auto"/>
            <w:vAlign w:val="center"/>
          </w:tcPr>
          <w:p w14:paraId="0DA758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nil"/>
              <w:left w:val="nil"/>
              <w:bottom w:val="single" w:color="000000" w:sz="8" w:space="0"/>
              <w:right w:val="single" w:color="000000" w:sz="8" w:space="0"/>
            </w:tcBorders>
            <w:shd w:val="clear" w:color="auto" w:fill="auto"/>
            <w:vAlign w:val="center"/>
          </w:tcPr>
          <w:p w14:paraId="5C4226AE">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基础会计理论与实务</w:t>
            </w:r>
          </w:p>
        </w:tc>
        <w:tc>
          <w:tcPr>
            <w:tcW w:w="0" w:type="auto"/>
            <w:tcBorders>
              <w:top w:val="nil"/>
              <w:left w:val="nil"/>
              <w:bottom w:val="single" w:color="000000" w:sz="8" w:space="0"/>
              <w:right w:val="single" w:color="000000" w:sz="8" w:space="0"/>
            </w:tcBorders>
            <w:shd w:val="clear" w:color="auto" w:fill="auto"/>
            <w:vAlign w:val="center"/>
          </w:tcPr>
          <w:p w14:paraId="555DE2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nil"/>
              <w:left w:val="nil"/>
              <w:bottom w:val="single" w:color="000000" w:sz="8" w:space="0"/>
              <w:right w:val="single" w:color="000000" w:sz="8" w:space="0"/>
            </w:tcBorders>
            <w:shd w:val="clear" w:color="auto" w:fill="auto"/>
            <w:vAlign w:val="center"/>
          </w:tcPr>
          <w:p w14:paraId="2784FB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0" w:type="auto"/>
            <w:tcBorders>
              <w:top w:val="nil"/>
              <w:left w:val="nil"/>
              <w:bottom w:val="single" w:color="000000" w:sz="8" w:space="0"/>
              <w:right w:val="single" w:color="000000" w:sz="8" w:space="0"/>
            </w:tcBorders>
            <w:shd w:val="clear" w:color="auto" w:fill="auto"/>
            <w:vAlign w:val="center"/>
          </w:tcPr>
          <w:p w14:paraId="45BADE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0" w:type="auto"/>
            <w:tcBorders>
              <w:top w:val="nil"/>
              <w:left w:val="nil"/>
              <w:bottom w:val="single" w:color="000000" w:sz="8" w:space="0"/>
              <w:right w:val="single" w:color="000000" w:sz="8" w:space="0"/>
            </w:tcBorders>
            <w:shd w:val="clear" w:color="auto" w:fill="auto"/>
            <w:vAlign w:val="center"/>
          </w:tcPr>
          <w:p w14:paraId="599B6C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0" w:type="auto"/>
            <w:tcBorders>
              <w:top w:val="nil"/>
              <w:left w:val="nil"/>
              <w:bottom w:val="single" w:color="000000" w:sz="8" w:space="0"/>
              <w:right w:val="single" w:color="000000" w:sz="8" w:space="0"/>
            </w:tcBorders>
            <w:shd w:val="clear" w:color="auto" w:fill="auto"/>
            <w:vAlign w:val="center"/>
          </w:tcPr>
          <w:p w14:paraId="4B2259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0" w:type="auto"/>
            <w:tcBorders>
              <w:top w:val="nil"/>
              <w:left w:val="nil"/>
              <w:bottom w:val="single" w:color="000000" w:sz="8" w:space="0"/>
              <w:right w:val="single" w:color="000000" w:sz="8" w:space="0"/>
            </w:tcBorders>
            <w:shd w:val="clear" w:color="auto" w:fill="auto"/>
            <w:vAlign w:val="center"/>
          </w:tcPr>
          <w:p w14:paraId="7A3BF4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0" w:type="auto"/>
            <w:tcBorders>
              <w:top w:val="nil"/>
              <w:left w:val="nil"/>
              <w:bottom w:val="single" w:color="000000" w:sz="8" w:space="0"/>
              <w:right w:val="single" w:color="000000" w:sz="8" w:space="0"/>
            </w:tcBorders>
            <w:shd w:val="clear" w:color="auto" w:fill="auto"/>
            <w:vAlign w:val="center"/>
          </w:tcPr>
          <w:p w14:paraId="70174BD6">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FF12F3B">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59A88D8C">
            <w:pPr>
              <w:jc w:val="center"/>
              <w:rPr>
                <w:rFonts w:hint="eastAsia" w:ascii="宋体" w:hAnsi="宋体" w:eastAsia="宋体" w:cs="宋体"/>
                <w:i w:val="0"/>
                <w:iCs w:val="0"/>
                <w:color w:val="000000"/>
                <w:sz w:val="18"/>
                <w:szCs w:val="18"/>
                <w:u w:val="none"/>
              </w:rPr>
            </w:pPr>
          </w:p>
        </w:tc>
        <w:tc>
          <w:tcPr>
            <w:tcW w:w="487" w:type="dxa"/>
            <w:tcBorders>
              <w:top w:val="nil"/>
              <w:left w:val="nil"/>
              <w:bottom w:val="single" w:color="000000" w:sz="8" w:space="0"/>
              <w:right w:val="single" w:color="000000" w:sz="8" w:space="0"/>
            </w:tcBorders>
            <w:shd w:val="clear" w:color="auto" w:fill="auto"/>
            <w:vAlign w:val="center"/>
          </w:tcPr>
          <w:p w14:paraId="134ECC7F">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6ED44D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508CC6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09133CBF">
            <w:pPr>
              <w:jc w:val="center"/>
              <w:rPr>
                <w:rFonts w:hint="default" w:ascii="Arial" w:hAnsi="Arial" w:eastAsia="宋体" w:cs="Arial"/>
                <w:i w:val="0"/>
                <w:iCs w:val="0"/>
                <w:color w:val="000000"/>
                <w:sz w:val="21"/>
                <w:szCs w:val="21"/>
                <w:u w:val="none"/>
              </w:rPr>
            </w:pPr>
          </w:p>
        </w:tc>
      </w:tr>
      <w:tr w14:paraId="266BC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4810C862">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A75C4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nil"/>
              <w:left w:val="nil"/>
              <w:bottom w:val="single" w:color="000000" w:sz="8" w:space="0"/>
              <w:right w:val="single" w:color="000000" w:sz="8" w:space="0"/>
            </w:tcBorders>
            <w:shd w:val="clear" w:color="auto" w:fill="auto"/>
            <w:vAlign w:val="center"/>
          </w:tcPr>
          <w:p w14:paraId="7A10FAB0">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经济法基础</w:t>
            </w:r>
          </w:p>
        </w:tc>
        <w:tc>
          <w:tcPr>
            <w:tcW w:w="0" w:type="auto"/>
            <w:tcBorders>
              <w:top w:val="nil"/>
              <w:left w:val="nil"/>
              <w:bottom w:val="single" w:color="000000" w:sz="8" w:space="0"/>
              <w:right w:val="single" w:color="000000" w:sz="8" w:space="0"/>
            </w:tcBorders>
            <w:shd w:val="clear" w:color="auto" w:fill="auto"/>
            <w:vAlign w:val="center"/>
          </w:tcPr>
          <w:p w14:paraId="76DCF0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nil"/>
              <w:left w:val="nil"/>
              <w:bottom w:val="single" w:color="000000" w:sz="8" w:space="0"/>
              <w:right w:val="single" w:color="000000" w:sz="8" w:space="0"/>
            </w:tcBorders>
            <w:shd w:val="clear" w:color="auto" w:fill="auto"/>
            <w:vAlign w:val="center"/>
          </w:tcPr>
          <w:p w14:paraId="7617C7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nil"/>
              <w:left w:val="nil"/>
              <w:bottom w:val="single" w:color="000000" w:sz="8" w:space="0"/>
              <w:right w:val="single" w:color="000000" w:sz="8" w:space="0"/>
            </w:tcBorders>
            <w:shd w:val="clear" w:color="auto" w:fill="auto"/>
            <w:vAlign w:val="center"/>
          </w:tcPr>
          <w:p w14:paraId="1CFCA1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nil"/>
              <w:left w:val="nil"/>
              <w:bottom w:val="single" w:color="000000" w:sz="8" w:space="0"/>
              <w:right w:val="single" w:color="000000" w:sz="8" w:space="0"/>
            </w:tcBorders>
            <w:shd w:val="clear" w:color="auto" w:fill="auto"/>
            <w:vAlign w:val="center"/>
          </w:tcPr>
          <w:p w14:paraId="352629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61289B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7B4112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nil"/>
              <w:left w:val="nil"/>
              <w:bottom w:val="single" w:color="000000" w:sz="8" w:space="0"/>
              <w:right w:val="single" w:color="000000" w:sz="8" w:space="0"/>
            </w:tcBorders>
            <w:shd w:val="clear" w:color="auto" w:fill="auto"/>
            <w:vAlign w:val="center"/>
          </w:tcPr>
          <w:p w14:paraId="71FEBBF8">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0707F4B7">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6B18ED3">
            <w:pPr>
              <w:jc w:val="center"/>
              <w:rPr>
                <w:rFonts w:hint="eastAsia" w:ascii="宋体" w:hAnsi="宋体" w:eastAsia="宋体" w:cs="宋体"/>
                <w:i w:val="0"/>
                <w:iCs w:val="0"/>
                <w:color w:val="000000"/>
                <w:sz w:val="18"/>
                <w:szCs w:val="18"/>
                <w:u w:val="none"/>
              </w:rPr>
            </w:pPr>
          </w:p>
        </w:tc>
        <w:tc>
          <w:tcPr>
            <w:tcW w:w="487" w:type="dxa"/>
            <w:tcBorders>
              <w:top w:val="nil"/>
              <w:left w:val="nil"/>
              <w:bottom w:val="single" w:color="000000" w:sz="8" w:space="0"/>
              <w:right w:val="single" w:color="000000" w:sz="8" w:space="0"/>
            </w:tcBorders>
            <w:shd w:val="clear" w:color="auto" w:fill="auto"/>
            <w:vAlign w:val="center"/>
          </w:tcPr>
          <w:p w14:paraId="1A548DD6">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2B8E96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04073E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2F279F62">
            <w:pPr>
              <w:jc w:val="center"/>
              <w:rPr>
                <w:rFonts w:hint="default" w:ascii="Arial" w:hAnsi="Arial" w:eastAsia="宋体" w:cs="Arial"/>
                <w:i w:val="0"/>
                <w:iCs w:val="0"/>
                <w:color w:val="000000"/>
                <w:sz w:val="21"/>
                <w:szCs w:val="21"/>
                <w:u w:val="none"/>
              </w:rPr>
            </w:pPr>
          </w:p>
        </w:tc>
      </w:tr>
      <w:tr w14:paraId="2E786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7400A1F5">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01AE35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nil"/>
              <w:left w:val="nil"/>
              <w:bottom w:val="single" w:color="000000" w:sz="8" w:space="0"/>
              <w:right w:val="single" w:color="000000" w:sz="8" w:space="0"/>
            </w:tcBorders>
            <w:shd w:val="clear" w:color="auto" w:fill="auto"/>
            <w:vAlign w:val="center"/>
          </w:tcPr>
          <w:p w14:paraId="43B8939E">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经济学基础</w:t>
            </w:r>
          </w:p>
        </w:tc>
        <w:tc>
          <w:tcPr>
            <w:tcW w:w="0" w:type="auto"/>
            <w:tcBorders>
              <w:top w:val="nil"/>
              <w:left w:val="nil"/>
              <w:bottom w:val="single" w:color="000000" w:sz="8" w:space="0"/>
              <w:right w:val="single" w:color="000000" w:sz="8" w:space="0"/>
            </w:tcBorders>
            <w:shd w:val="clear" w:color="auto" w:fill="auto"/>
            <w:vAlign w:val="center"/>
          </w:tcPr>
          <w:p w14:paraId="551354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nil"/>
              <w:left w:val="nil"/>
              <w:bottom w:val="single" w:color="000000" w:sz="8" w:space="0"/>
              <w:right w:val="single" w:color="000000" w:sz="8" w:space="0"/>
            </w:tcBorders>
            <w:shd w:val="clear" w:color="auto" w:fill="auto"/>
            <w:vAlign w:val="center"/>
          </w:tcPr>
          <w:p w14:paraId="3A9548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nil"/>
              <w:left w:val="nil"/>
              <w:bottom w:val="single" w:color="000000" w:sz="8" w:space="0"/>
              <w:right w:val="single" w:color="000000" w:sz="8" w:space="0"/>
            </w:tcBorders>
            <w:shd w:val="clear" w:color="auto" w:fill="auto"/>
            <w:vAlign w:val="center"/>
          </w:tcPr>
          <w:p w14:paraId="6B9390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nil"/>
              <w:left w:val="nil"/>
              <w:bottom w:val="single" w:color="000000" w:sz="8" w:space="0"/>
              <w:right w:val="single" w:color="000000" w:sz="8" w:space="0"/>
            </w:tcBorders>
            <w:shd w:val="clear" w:color="auto" w:fill="auto"/>
            <w:vAlign w:val="center"/>
          </w:tcPr>
          <w:p w14:paraId="2CDC8C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2053AD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191195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nil"/>
              <w:left w:val="nil"/>
              <w:bottom w:val="single" w:color="000000" w:sz="8" w:space="0"/>
              <w:right w:val="single" w:color="000000" w:sz="8" w:space="0"/>
            </w:tcBorders>
            <w:shd w:val="clear" w:color="auto" w:fill="auto"/>
            <w:vAlign w:val="center"/>
          </w:tcPr>
          <w:p w14:paraId="35BEA9C6">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4533713B">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1D6CC34E">
            <w:pPr>
              <w:jc w:val="center"/>
              <w:rPr>
                <w:rFonts w:hint="eastAsia" w:ascii="宋体" w:hAnsi="宋体" w:eastAsia="宋体" w:cs="宋体"/>
                <w:i w:val="0"/>
                <w:iCs w:val="0"/>
                <w:color w:val="000000"/>
                <w:sz w:val="18"/>
                <w:szCs w:val="18"/>
                <w:u w:val="none"/>
              </w:rPr>
            </w:pPr>
          </w:p>
        </w:tc>
        <w:tc>
          <w:tcPr>
            <w:tcW w:w="487" w:type="dxa"/>
            <w:tcBorders>
              <w:top w:val="nil"/>
              <w:left w:val="nil"/>
              <w:bottom w:val="single" w:color="000000" w:sz="8" w:space="0"/>
              <w:right w:val="single" w:color="000000" w:sz="8" w:space="0"/>
            </w:tcBorders>
            <w:shd w:val="clear" w:color="auto" w:fill="auto"/>
            <w:vAlign w:val="center"/>
          </w:tcPr>
          <w:p w14:paraId="3527DD53">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40A4CD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2B9935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47200185">
            <w:pPr>
              <w:jc w:val="center"/>
              <w:rPr>
                <w:rFonts w:hint="default" w:ascii="Arial" w:hAnsi="Arial" w:eastAsia="宋体" w:cs="Arial"/>
                <w:i w:val="0"/>
                <w:iCs w:val="0"/>
                <w:color w:val="000000"/>
                <w:sz w:val="21"/>
                <w:szCs w:val="21"/>
                <w:u w:val="none"/>
              </w:rPr>
            </w:pPr>
          </w:p>
        </w:tc>
      </w:tr>
      <w:tr w14:paraId="2B6FF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1929A0A1">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4155A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nil"/>
              <w:left w:val="nil"/>
              <w:bottom w:val="single" w:color="000000" w:sz="8" w:space="0"/>
              <w:right w:val="single" w:color="000000" w:sz="8" w:space="0"/>
            </w:tcBorders>
            <w:shd w:val="clear" w:color="auto" w:fill="auto"/>
            <w:vAlign w:val="center"/>
          </w:tcPr>
          <w:p w14:paraId="0184CC9C">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管理会计实务</w:t>
            </w:r>
          </w:p>
        </w:tc>
        <w:tc>
          <w:tcPr>
            <w:tcW w:w="0" w:type="auto"/>
            <w:tcBorders>
              <w:top w:val="nil"/>
              <w:left w:val="nil"/>
              <w:bottom w:val="single" w:color="000000" w:sz="8" w:space="0"/>
              <w:right w:val="single" w:color="000000" w:sz="8" w:space="0"/>
            </w:tcBorders>
            <w:shd w:val="clear" w:color="auto" w:fill="auto"/>
            <w:vAlign w:val="center"/>
          </w:tcPr>
          <w:p w14:paraId="1B0E4E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71D00C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0" w:type="auto"/>
            <w:tcBorders>
              <w:top w:val="nil"/>
              <w:left w:val="nil"/>
              <w:bottom w:val="single" w:color="000000" w:sz="8" w:space="0"/>
              <w:right w:val="single" w:color="000000" w:sz="8" w:space="0"/>
            </w:tcBorders>
            <w:shd w:val="clear" w:color="auto" w:fill="auto"/>
            <w:vAlign w:val="center"/>
          </w:tcPr>
          <w:p w14:paraId="6D14F9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0" w:type="auto"/>
            <w:tcBorders>
              <w:top w:val="nil"/>
              <w:left w:val="nil"/>
              <w:bottom w:val="single" w:color="000000" w:sz="8" w:space="0"/>
              <w:right w:val="single" w:color="000000" w:sz="8" w:space="0"/>
            </w:tcBorders>
            <w:shd w:val="clear" w:color="auto" w:fill="auto"/>
            <w:vAlign w:val="center"/>
          </w:tcPr>
          <w:p w14:paraId="4E8506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0" w:type="auto"/>
            <w:tcBorders>
              <w:top w:val="nil"/>
              <w:left w:val="nil"/>
              <w:bottom w:val="single" w:color="000000" w:sz="8" w:space="0"/>
              <w:right w:val="single" w:color="000000" w:sz="8" w:space="0"/>
            </w:tcBorders>
            <w:shd w:val="clear" w:color="auto" w:fill="auto"/>
            <w:vAlign w:val="center"/>
          </w:tcPr>
          <w:p w14:paraId="6740DF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0" w:type="auto"/>
            <w:tcBorders>
              <w:top w:val="nil"/>
              <w:left w:val="nil"/>
              <w:bottom w:val="single" w:color="000000" w:sz="8" w:space="0"/>
              <w:right w:val="single" w:color="000000" w:sz="8" w:space="0"/>
            </w:tcBorders>
            <w:shd w:val="clear" w:color="auto" w:fill="auto"/>
            <w:vAlign w:val="center"/>
          </w:tcPr>
          <w:p w14:paraId="343B92D1">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B515496">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2277AF68">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6C200B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487" w:type="dxa"/>
            <w:tcBorders>
              <w:top w:val="nil"/>
              <w:left w:val="nil"/>
              <w:bottom w:val="single" w:color="000000" w:sz="8" w:space="0"/>
              <w:right w:val="single" w:color="000000" w:sz="8" w:space="0"/>
            </w:tcBorders>
            <w:shd w:val="clear" w:color="auto" w:fill="auto"/>
            <w:vAlign w:val="center"/>
          </w:tcPr>
          <w:p w14:paraId="29AAE357">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0580C4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4FFA66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11FD4B33">
            <w:pPr>
              <w:jc w:val="center"/>
              <w:rPr>
                <w:rFonts w:hint="default" w:ascii="Arial" w:hAnsi="Arial" w:eastAsia="宋体" w:cs="Arial"/>
                <w:i w:val="0"/>
                <w:iCs w:val="0"/>
                <w:color w:val="000000"/>
                <w:sz w:val="21"/>
                <w:szCs w:val="21"/>
                <w:u w:val="none"/>
              </w:rPr>
            </w:pPr>
          </w:p>
        </w:tc>
      </w:tr>
      <w:tr w14:paraId="1D8AF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446F9120">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6DE498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0" w:type="auto"/>
            <w:tcBorders>
              <w:top w:val="nil"/>
              <w:left w:val="nil"/>
              <w:bottom w:val="single" w:color="000000" w:sz="8" w:space="0"/>
              <w:right w:val="single" w:color="000000" w:sz="8" w:space="0"/>
            </w:tcBorders>
            <w:shd w:val="clear" w:color="auto" w:fill="auto"/>
            <w:vAlign w:val="center"/>
          </w:tcPr>
          <w:p w14:paraId="666096E7">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智能化成本核算与管理</w:t>
            </w:r>
          </w:p>
        </w:tc>
        <w:tc>
          <w:tcPr>
            <w:tcW w:w="0" w:type="auto"/>
            <w:tcBorders>
              <w:top w:val="nil"/>
              <w:left w:val="nil"/>
              <w:bottom w:val="single" w:color="000000" w:sz="8" w:space="0"/>
              <w:right w:val="single" w:color="000000" w:sz="8" w:space="0"/>
            </w:tcBorders>
            <w:shd w:val="clear" w:color="auto" w:fill="auto"/>
            <w:vAlign w:val="center"/>
          </w:tcPr>
          <w:p w14:paraId="61CA4B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nil"/>
              <w:left w:val="nil"/>
              <w:bottom w:val="single" w:color="000000" w:sz="8" w:space="0"/>
              <w:right w:val="single" w:color="000000" w:sz="8" w:space="0"/>
            </w:tcBorders>
            <w:shd w:val="clear" w:color="auto" w:fill="auto"/>
            <w:vAlign w:val="center"/>
          </w:tcPr>
          <w:p w14:paraId="029E36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nil"/>
              <w:left w:val="nil"/>
              <w:bottom w:val="single" w:color="000000" w:sz="8" w:space="0"/>
              <w:right w:val="single" w:color="000000" w:sz="8" w:space="0"/>
            </w:tcBorders>
            <w:shd w:val="clear" w:color="auto" w:fill="auto"/>
            <w:vAlign w:val="center"/>
          </w:tcPr>
          <w:p w14:paraId="0B698C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0" w:type="auto"/>
            <w:tcBorders>
              <w:top w:val="nil"/>
              <w:left w:val="nil"/>
              <w:bottom w:val="single" w:color="000000" w:sz="8" w:space="0"/>
              <w:right w:val="single" w:color="000000" w:sz="8" w:space="0"/>
            </w:tcBorders>
            <w:shd w:val="clear" w:color="auto" w:fill="auto"/>
            <w:vAlign w:val="center"/>
          </w:tcPr>
          <w:p w14:paraId="1A8064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0" w:type="auto"/>
            <w:tcBorders>
              <w:top w:val="nil"/>
              <w:left w:val="nil"/>
              <w:bottom w:val="single" w:color="000000" w:sz="8" w:space="0"/>
              <w:right w:val="single" w:color="000000" w:sz="8" w:space="0"/>
            </w:tcBorders>
            <w:shd w:val="clear" w:color="auto" w:fill="auto"/>
            <w:vAlign w:val="center"/>
          </w:tcPr>
          <w:p w14:paraId="38F869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0" w:type="auto"/>
            <w:tcBorders>
              <w:top w:val="nil"/>
              <w:left w:val="nil"/>
              <w:bottom w:val="single" w:color="000000" w:sz="8" w:space="0"/>
              <w:right w:val="single" w:color="000000" w:sz="8" w:space="0"/>
            </w:tcBorders>
            <w:shd w:val="clear" w:color="auto" w:fill="auto"/>
            <w:vAlign w:val="center"/>
          </w:tcPr>
          <w:p w14:paraId="2164E439">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D6B0D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nil"/>
              <w:left w:val="nil"/>
              <w:bottom w:val="single" w:color="000000" w:sz="8" w:space="0"/>
              <w:right w:val="single" w:color="000000" w:sz="8" w:space="0"/>
            </w:tcBorders>
            <w:shd w:val="clear" w:color="auto" w:fill="auto"/>
            <w:vAlign w:val="center"/>
          </w:tcPr>
          <w:p w14:paraId="494286A6">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D1F77AD">
            <w:pPr>
              <w:jc w:val="center"/>
              <w:rPr>
                <w:rFonts w:hint="eastAsia" w:ascii="宋体" w:hAnsi="宋体" w:eastAsia="宋体" w:cs="宋体"/>
                <w:i w:val="0"/>
                <w:iCs w:val="0"/>
                <w:color w:val="000000"/>
                <w:sz w:val="18"/>
                <w:szCs w:val="18"/>
                <w:u w:val="none"/>
              </w:rPr>
            </w:pPr>
          </w:p>
        </w:tc>
        <w:tc>
          <w:tcPr>
            <w:tcW w:w="487" w:type="dxa"/>
            <w:tcBorders>
              <w:top w:val="nil"/>
              <w:left w:val="nil"/>
              <w:bottom w:val="single" w:color="000000" w:sz="8" w:space="0"/>
              <w:right w:val="single" w:color="000000" w:sz="8" w:space="0"/>
            </w:tcBorders>
            <w:shd w:val="clear" w:color="auto" w:fill="auto"/>
            <w:vAlign w:val="center"/>
          </w:tcPr>
          <w:p w14:paraId="6484A102">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75D644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52894A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3AC9844D">
            <w:pPr>
              <w:jc w:val="center"/>
              <w:rPr>
                <w:rFonts w:hint="default" w:ascii="Arial" w:hAnsi="Arial" w:eastAsia="宋体" w:cs="Arial"/>
                <w:i w:val="0"/>
                <w:iCs w:val="0"/>
                <w:color w:val="000000"/>
                <w:sz w:val="21"/>
                <w:szCs w:val="21"/>
                <w:u w:val="none"/>
              </w:rPr>
            </w:pPr>
          </w:p>
        </w:tc>
      </w:tr>
      <w:tr w14:paraId="00E6E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6B4A25FB">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75F65D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nil"/>
              <w:left w:val="nil"/>
              <w:bottom w:val="single" w:color="000000" w:sz="8" w:space="0"/>
              <w:right w:val="single" w:color="000000" w:sz="8" w:space="0"/>
            </w:tcBorders>
            <w:shd w:val="clear" w:color="auto" w:fill="auto"/>
            <w:vAlign w:val="center"/>
          </w:tcPr>
          <w:p w14:paraId="46A98385">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统计学基础</w:t>
            </w:r>
          </w:p>
        </w:tc>
        <w:tc>
          <w:tcPr>
            <w:tcW w:w="0" w:type="auto"/>
            <w:tcBorders>
              <w:top w:val="nil"/>
              <w:left w:val="nil"/>
              <w:bottom w:val="single" w:color="000000" w:sz="8" w:space="0"/>
              <w:right w:val="single" w:color="000000" w:sz="8" w:space="0"/>
            </w:tcBorders>
            <w:shd w:val="clear" w:color="auto" w:fill="auto"/>
            <w:vAlign w:val="center"/>
          </w:tcPr>
          <w:p w14:paraId="287AC4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nil"/>
              <w:left w:val="nil"/>
              <w:bottom w:val="single" w:color="000000" w:sz="8" w:space="0"/>
              <w:right w:val="single" w:color="000000" w:sz="8" w:space="0"/>
            </w:tcBorders>
            <w:shd w:val="clear" w:color="auto" w:fill="auto"/>
            <w:vAlign w:val="center"/>
          </w:tcPr>
          <w:p w14:paraId="027C5A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nil"/>
              <w:left w:val="nil"/>
              <w:bottom w:val="single" w:color="000000" w:sz="8" w:space="0"/>
              <w:right w:val="single" w:color="000000" w:sz="8" w:space="0"/>
            </w:tcBorders>
            <w:shd w:val="clear" w:color="auto" w:fill="auto"/>
            <w:vAlign w:val="center"/>
          </w:tcPr>
          <w:p w14:paraId="31D877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0" w:type="auto"/>
            <w:tcBorders>
              <w:top w:val="nil"/>
              <w:left w:val="nil"/>
              <w:bottom w:val="single" w:color="000000" w:sz="8" w:space="0"/>
              <w:right w:val="single" w:color="000000" w:sz="8" w:space="0"/>
            </w:tcBorders>
            <w:shd w:val="clear" w:color="auto" w:fill="auto"/>
            <w:vAlign w:val="center"/>
          </w:tcPr>
          <w:p w14:paraId="6F8347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0" w:type="auto"/>
            <w:tcBorders>
              <w:top w:val="nil"/>
              <w:left w:val="nil"/>
              <w:bottom w:val="single" w:color="000000" w:sz="8" w:space="0"/>
              <w:right w:val="single" w:color="000000" w:sz="8" w:space="0"/>
            </w:tcBorders>
            <w:shd w:val="clear" w:color="auto" w:fill="auto"/>
            <w:vAlign w:val="center"/>
          </w:tcPr>
          <w:p w14:paraId="13613F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0" w:type="auto"/>
            <w:tcBorders>
              <w:top w:val="nil"/>
              <w:left w:val="nil"/>
              <w:bottom w:val="single" w:color="000000" w:sz="8" w:space="0"/>
              <w:right w:val="single" w:color="000000" w:sz="8" w:space="0"/>
            </w:tcBorders>
            <w:shd w:val="clear" w:color="auto" w:fill="auto"/>
            <w:vAlign w:val="center"/>
          </w:tcPr>
          <w:p w14:paraId="71D08927">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76D4DB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nil"/>
              <w:left w:val="nil"/>
              <w:bottom w:val="single" w:color="000000" w:sz="8" w:space="0"/>
              <w:right w:val="single" w:color="000000" w:sz="8" w:space="0"/>
            </w:tcBorders>
            <w:shd w:val="clear" w:color="auto" w:fill="auto"/>
            <w:vAlign w:val="center"/>
          </w:tcPr>
          <w:p w14:paraId="0120E58C">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2650F9FF">
            <w:pPr>
              <w:jc w:val="center"/>
              <w:rPr>
                <w:rFonts w:hint="eastAsia" w:ascii="宋体" w:hAnsi="宋体" w:eastAsia="宋体" w:cs="宋体"/>
                <w:i w:val="0"/>
                <w:iCs w:val="0"/>
                <w:color w:val="000000"/>
                <w:sz w:val="18"/>
                <w:szCs w:val="18"/>
                <w:u w:val="none"/>
              </w:rPr>
            </w:pPr>
          </w:p>
        </w:tc>
        <w:tc>
          <w:tcPr>
            <w:tcW w:w="487" w:type="dxa"/>
            <w:tcBorders>
              <w:top w:val="nil"/>
              <w:left w:val="nil"/>
              <w:bottom w:val="single" w:color="000000" w:sz="8" w:space="0"/>
              <w:right w:val="single" w:color="000000" w:sz="8" w:space="0"/>
            </w:tcBorders>
            <w:shd w:val="clear" w:color="auto" w:fill="auto"/>
            <w:vAlign w:val="center"/>
          </w:tcPr>
          <w:p w14:paraId="50A72AC2">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502AA7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60601F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5C259EAC">
            <w:pPr>
              <w:jc w:val="center"/>
              <w:rPr>
                <w:rFonts w:hint="default" w:ascii="Arial" w:hAnsi="Arial" w:eastAsia="宋体" w:cs="Arial"/>
                <w:i w:val="0"/>
                <w:iCs w:val="0"/>
                <w:color w:val="000000"/>
                <w:sz w:val="21"/>
                <w:szCs w:val="21"/>
                <w:u w:val="none"/>
              </w:rPr>
            </w:pPr>
          </w:p>
        </w:tc>
      </w:tr>
      <w:tr w14:paraId="0D3C2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73ABACCB">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93AB7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0" w:type="auto"/>
            <w:tcBorders>
              <w:top w:val="nil"/>
              <w:left w:val="nil"/>
              <w:bottom w:val="single" w:color="000000" w:sz="8" w:space="0"/>
              <w:right w:val="single" w:color="000000" w:sz="8" w:space="0"/>
            </w:tcBorders>
            <w:shd w:val="clear" w:color="auto" w:fill="auto"/>
            <w:vAlign w:val="center"/>
          </w:tcPr>
          <w:p w14:paraId="566B134F">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财务管理实务</w:t>
            </w:r>
          </w:p>
        </w:tc>
        <w:tc>
          <w:tcPr>
            <w:tcW w:w="0" w:type="auto"/>
            <w:tcBorders>
              <w:top w:val="nil"/>
              <w:left w:val="nil"/>
              <w:bottom w:val="single" w:color="000000" w:sz="8" w:space="0"/>
              <w:right w:val="single" w:color="000000" w:sz="8" w:space="0"/>
            </w:tcBorders>
            <w:shd w:val="clear" w:color="auto" w:fill="auto"/>
            <w:vAlign w:val="center"/>
          </w:tcPr>
          <w:p w14:paraId="69F9E8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nil"/>
              <w:left w:val="nil"/>
              <w:bottom w:val="single" w:color="000000" w:sz="8" w:space="0"/>
              <w:right w:val="single" w:color="000000" w:sz="8" w:space="0"/>
            </w:tcBorders>
            <w:shd w:val="clear" w:color="auto" w:fill="auto"/>
            <w:vAlign w:val="center"/>
          </w:tcPr>
          <w:p w14:paraId="076805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0" w:type="auto"/>
            <w:tcBorders>
              <w:top w:val="nil"/>
              <w:left w:val="nil"/>
              <w:bottom w:val="single" w:color="000000" w:sz="8" w:space="0"/>
              <w:right w:val="single" w:color="000000" w:sz="8" w:space="0"/>
            </w:tcBorders>
            <w:shd w:val="clear" w:color="auto" w:fill="auto"/>
            <w:vAlign w:val="center"/>
          </w:tcPr>
          <w:p w14:paraId="03CE23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0" w:type="auto"/>
            <w:tcBorders>
              <w:top w:val="nil"/>
              <w:left w:val="nil"/>
              <w:bottom w:val="single" w:color="000000" w:sz="8" w:space="0"/>
              <w:right w:val="single" w:color="000000" w:sz="8" w:space="0"/>
            </w:tcBorders>
            <w:shd w:val="clear" w:color="auto" w:fill="auto"/>
            <w:vAlign w:val="center"/>
          </w:tcPr>
          <w:p w14:paraId="0F6EDD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0" w:type="auto"/>
            <w:tcBorders>
              <w:top w:val="nil"/>
              <w:left w:val="nil"/>
              <w:bottom w:val="single" w:color="000000" w:sz="8" w:space="0"/>
              <w:right w:val="single" w:color="000000" w:sz="8" w:space="0"/>
            </w:tcBorders>
            <w:shd w:val="clear" w:color="auto" w:fill="auto"/>
            <w:vAlign w:val="center"/>
          </w:tcPr>
          <w:p w14:paraId="761D25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0" w:type="auto"/>
            <w:tcBorders>
              <w:top w:val="nil"/>
              <w:left w:val="nil"/>
              <w:bottom w:val="single" w:color="000000" w:sz="8" w:space="0"/>
              <w:right w:val="single" w:color="000000" w:sz="8" w:space="0"/>
            </w:tcBorders>
            <w:shd w:val="clear" w:color="auto" w:fill="auto"/>
            <w:vAlign w:val="center"/>
          </w:tcPr>
          <w:p w14:paraId="676D5D6F">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18604FB6">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460645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0" w:type="auto"/>
            <w:tcBorders>
              <w:top w:val="nil"/>
              <w:left w:val="nil"/>
              <w:bottom w:val="single" w:color="000000" w:sz="8" w:space="0"/>
              <w:right w:val="single" w:color="000000" w:sz="8" w:space="0"/>
            </w:tcBorders>
            <w:shd w:val="clear" w:color="auto" w:fill="auto"/>
            <w:vAlign w:val="center"/>
          </w:tcPr>
          <w:p w14:paraId="25E3528E">
            <w:pPr>
              <w:jc w:val="center"/>
              <w:rPr>
                <w:rFonts w:hint="eastAsia" w:ascii="宋体" w:hAnsi="宋体" w:eastAsia="宋体" w:cs="宋体"/>
                <w:i w:val="0"/>
                <w:iCs w:val="0"/>
                <w:color w:val="000000"/>
                <w:sz w:val="18"/>
                <w:szCs w:val="18"/>
                <w:u w:val="none"/>
              </w:rPr>
            </w:pPr>
          </w:p>
        </w:tc>
        <w:tc>
          <w:tcPr>
            <w:tcW w:w="487" w:type="dxa"/>
            <w:tcBorders>
              <w:top w:val="nil"/>
              <w:left w:val="nil"/>
              <w:bottom w:val="single" w:color="000000" w:sz="8" w:space="0"/>
              <w:right w:val="single" w:color="000000" w:sz="8" w:space="0"/>
            </w:tcBorders>
            <w:shd w:val="clear" w:color="auto" w:fill="auto"/>
            <w:vAlign w:val="center"/>
          </w:tcPr>
          <w:p w14:paraId="5AACCB65">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38C18C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24FDC9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551868AD">
            <w:pPr>
              <w:jc w:val="center"/>
              <w:rPr>
                <w:rFonts w:hint="default" w:ascii="Arial" w:hAnsi="Arial" w:eastAsia="宋体" w:cs="Arial"/>
                <w:i w:val="0"/>
                <w:iCs w:val="0"/>
                <w:color w:val="000000"/>
                <w:sz w:val="21"/>
                <w:szCs w:val="21"/>
                <w:u w:val="none"/>
              </w:rPr>
            </w:pPr>
          </w:p>
        </w:tc>
      </w:tr>
      <w:tr w14:paraId="1CEE6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247AB2D5">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55977C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0" w:type="auto"/>
            <w:tcBorders>
              <w:top w:val="nil"/>
              <w:left w:val="nil"/>
              <w:bottom w:val="single" w:color="000000" w:sz="8" w:space="0"/>
              <w:right w:val="single" w:color="000000" w:sz="8" w:space="0"/>
            </w:tcBorders>
            <w:shd w:val="clear" w:color="auto" w:fill="auto"/>
            <w:vAlign w:val="center"/>
          </w:tcPr>
          <w:p w14:paraId="474624E7">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企业财务会计</w:t>
            </w:r>
          </w:p>
        </w:tc>
        <w:tc>
          <w:tcPr>
            <w:tcW w:w="0" w:type="auto"/>
            <w:tcBorders>
              <w:top w:val="nil"/>
              <w:left w:val="nil"/>
              <w:bottom w:val="single" w:color="000000" w:sz="8" w:space="0"/>
              <w:right w:val="single" w:color="000000" w:sz="8" w:space="0"/>
            </w:tcBorders>
            <w:shd w:val="clear" w:color="auto" w:fill="auto"/>
            <w:vAlign w:val="center"/>
          </w:tcPr>
          <w:p w14:paraId="30EC1C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nil"/>
              <w:left w:val="nil"/>
              <w:bottom w:val="single" w:color="000000" w:sz="8" w:space="0"/>
              <w:right w:val="single" w:color="000000" w:sz="8" w:space="0"/>
            </w:tcBorders>
            <w:shd w:val="clear" w:color="auto" w:fill="auto"/>
            <w:vAlign w:val="center"/>
          </w:tcPr>
          <w:p w14:paraId="3F90B7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0" w:type="auto"/>
            <w:tcBorders>
              <w:top w:val="nil"/>
              <w:left w:val="nil"/>
              <w:bottom w:val="single" w:color="000000" w:sz="8" w:space="0"/>
              <w:right w:val="single" w:color="000000" w:sz="8" w:space="0"/>
            </w:tcBorders>
            <w:shd w:val="clear" w:color="auto" w:fill="auto"/>
            <w:vAlign w:val="center"/>
          </w:tcPr>
          <w:p w14:paraId="78889E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0" w:type="auto"/>
            <w:tcBorders>
              <w:top w:val="nil"/>
              <w:left w:val="nil"/>
              <w:bottom w:val="single" w:color="000000" w:sz="8" w:space="0"/>
              <w:right w:val="single" w:color="000000" w:sz="8" w:space="0"/>
            </w:tcBorders>
            <w:shd w:val="clear" w:color="auto" w:fill="auto"/>
            <w:vAlign w:val="center"/>
          </w:tcPr>
          <w:p w14:paraId="68B6F3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0" w:type="auto"/>
            <w:tcBorders>
              <w:top w:val="nil"/>
              <w:left w:val="nil"/>
              <w:bottom w:val="single" w:color="000000" w:sz="8" w:space="0"/>
              <w:right w:val="single" w:color="000000" w:sz="8" w:space="0"/>
            </w:tcBorders>
            <w:shd w:val="clear" w:color="auto" w:fill="auto"/>
            <w:vAlign w:val="center"/>
          </w:tcPr>
          <w:p w14:paraId="7D56E5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0" w:type="auto"/>
            <w:tcBorders>
              <w:top w:val="nil"/>
              <w:left w:val="nil"/>
              <w:bottom w:val="single" w:color="000000" w:sz="8" w:space="0"/>
              <w:right w:val="single" w:color="000000" w:sz="8" w:space="0"/>
            </w:tcBorders>
            <w:shd w:val="clear" w:color="auto" w:fill="auto"/>
            <w:vAlign w:val="center"/>
          </w:tcPr>
          <w:p w14:paraId="507FDF49">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08FF26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nil"/>
              <w:left w:val="nil"/>
              <w:bottom w:val="single" w:color="000000" w:sz="8" w:space="0"/>
              <w:right w:val="single" w:color="000000" w:sz="8" w:space="0"/>
            </w:tcBorders>
            <w:shd w:val="clear" w:color="auto" w:fill="auto"/>
            <w:vAlign w:val="center"/>
          </w:tcPr>
          <w:p w14:paraId="0CC7F2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nil"/>
              <w:left w:val="nil"/>
              <w:bottom w:val="single" w:color="000000" w:sz="8" w:space="0"/>
              <w:right w:val="single" w:color="000000" w:sz="8" w:space="0"/>
            </w:tcBorders>
            <w:shd w:val="clear" w:color="auto" w:fill="auto"/>
            <w:vAlign w:val="center"/>
          </w:tcPr>
          <w:p w14:paraId="2B03339A">
            <w:pPr>
              <w:jc w:val="center"/>
              <w:rPr>
                <w:rFonts w:hint="eastAsia" w:ascii="宋体" w:hAnsi="宋体" w:eastAsia="宋体" w:cs="宋体"/>
                <w:i w:val="0"/>
                <w:iCs w:val="0"/>
                <w:color w:val="000000"/>
                <w:sz w:val="18"/>
                <w:szCs w:val="18"/>
                <w:u w:val="none"/>
              </w:rPr>
            </w:pPr>
          </w:p>
        </w:tc>
        <w:tc>
          <w:tcPr>
            <w:tcW w:w="487" w:type="dxa"/>
            <w:tcBorders>
              <w:top w:val="nil"/>
              <w:left w:val="nil"/>
              <w:bottom w:val="single" w:color="000000" w:sz="8" w:space="0"/>
              <w:right w:val="single" w:color="000000" w:sz="8" w:space="0"/>
            </w:tcBorders>
            <w:shd w:val="clear" w:color="auto" w:fill="auto"/>
            <w:vAlign w:val="center"/>
          </w:tcPr>
          <w:p w14:paraId="5335DE68">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2F86AE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79E3DA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38E5107F">
            <w:pPr>
              <w:jc w:val="center"/>
              <w:rPr>
                <w:rFonts w:hint="default" w:ascii="Arial" w:hAnsi="Arial" w:eastAsia="宋体" w:cs="Arial"/>
                <w:i w:val="0"/>
                <w:iCs w:val="0"/>
                <w:color w:val="000000"/>
                <w:sz w:val="21"/>
                <w:szCs w:val="21"/>
                <w:u w:val="none"/>
              </w:rPr>
            </w:pPr>
          </w:p>
        </w:tc>
      </w:tr>
      <w:tr w14:paraId="2016F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0EB617DB">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2C22A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nil"/>
              <w:left w:val="nil"/>
              <w:bottom w:val="single" w:color="000000" w:sz="8" w:space="0"/>
              <w:right w:val="single" w:color="000000" w:sz="8" w:space="0"/>
            </w:tcBorders>
            <w:shd w:val="clear" w:color="auto" w:fill="auto"/>
            <w:vAlign w:val="center"/>
          </w:tcPr>
          <w:p w14:paraId="119EAC4B">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会计信息系统应用</w:t>
            </w:r>
          </w:p>
        </w:tc>
        <w:tc>
          <w:tcPr>
            <w:tcW w:w="0" w:type="auto"/>
            <w:tcBorders>
              <w:top w:val="nil"/>
              <w:left w:val="nil"/>
              <w:bottom w:val="single" w:color="000000" w:sz="8" w:space="0"/>
              <w:right w:val="single" w:color="000000" w:sz="8" w:space="0"/>
            </w:tcBorders>
            <w:shd w:val="clear" w:color="auto" w:fill="auto"/>
            <w:vAlign w:val="center"/>
          </w:tcPr>
          <w:p w14:paraId="4E5C8E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nil"/>
              <w:left w:val="nil"/>
              <w:bottom w:val="single" w:color="000000" w:sz="8" w:space="0"/>
              <w:right w:val="single" w:color="000000" w:sz="8" w:space="0"/>
            </w:tcBorders>
            <w:shd w:val="clear" w:color="auto" w:fill="auto"/>
            <w:vAlign w:val="center"/>
          </w:tcPr>
          <w:p w14:paraId="18608D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0" w:type="auto"/>
            <w:tcBorders>
              <w:top w:val="nil"/>
              <w:left w:val="nil"/>
              <w:bottom w:val="single" w:color="000000" w:sz="8" w:space="0"/>
              <w:right w:val="single" w:color="000000" w:sz="8" w:space="0"/>
            </w:tcBorders>
            <w:shd w:val="clear" w:color="auto" w:fill="auto"/>
            <w:vAlign w:val="center"/>
          </w:tcPr>
          <w:p w14:paraId="514C87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0" w:type="auto"/>
            <w:tcBorders>
              <w:top w:val="nil"/>
              <w:left w:val="nil"/>
              <w:bottom w:val="single" w:color="000000" w:sz="8" w:space="0"/>
              <w:right w:val="single" w:color="000000" w:sz="8" w:space="0"/>
            </w:tcBorders>
            <w:shd w:val="clear" w:color="auto" w:fill="auto"/>
            <w:vAlign w:val="center"/>
          </w:tcPr>
          <w:p w14:paraId="3C5CF7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0" w:type="auto"/>
            <w:tcBorders>
              <w:top w:val="nil"/>
              <w:left w:val="nil"/>
              <w:bottom w:val="single" w:color="000000" w:sz="8" w:space="0"/>
              <w:right w:val="single" w:color="000000" w:sz="8" w:space="0"/>
            </w:tcBorders>
            <w:shd w:val="clear" w:color="auto" w:fill="auto"/>
            <w:vAlign w:val="center"/>
          </w:tcPr>
          <w:p w14:paraId="033748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0" w:type="auto"/>
            <w:tcBorders>
              <w:top w:val="nil"/>
              <w:left w:val="nil"/>
              <w:bottom w:val="single" w:color="000000" w:sz="8" w:space="0"/>
              <w:right w:val="single" w:color="000000" w:sz="8" w:space="0"/>
            </w:tcBorders>
            <w:shd w:val="clear" w:color="auto" w:fill="auto"/>
            <w:vAlign w:val="center"/>
          </w:tcPr>
          <w:p w14:paraId="0DD7DEBB">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9D96B9E">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405E43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nil"/>
              <w:left w:val="nil"/>
              <w:bottom w:val="single" w:color="000000" w:sz="8" w:space="0"/>
              <w:right w:val="single" w:color="000000" w:sz="8" w:space="0"/>
            </w:tcBorders>
            <w:shd w:val="clear" w:color="auto" w:fill="auto"/>
            <w:vAlign w:val="center"/>
          </w:tcPr>
          <w:p w14:paraId="3ACD61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487" w:type="dxa"/>
            <w:tcBorders>
              <w:top w:val="nil"/>
              <w:left w:val="nil"/>
              <w:bottom w:val="single" w:color="000000" w:sz="8" w:space="0"/>
              <w:right w:val="single" w:color="000000" w:sz="8" w:space="0"/>
            </w:tcBorders>
            <w:shd w:val="clear" w:color="auto" w:fill="auto"/>
            <w:vAlign w:val="center"/>
          </w:tcPr>
          <w:p w14:paraId="4322CA06">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280AAB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2FB0D9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4E03A926">
            <w:pPr>
              <w:jc w:val="center"/>
              <w:rPr>
                <w:rFonts w:hint="default" w:ascii="Arial" w:hAnsi="Arial" w:eastAsia="宋体" w:cs="Arial"/>
                <w:i w:val="0"/>
                <w:iCs w:val="0"/>
                <w:color w:val="000000"/>
                <w:sz w:val="21"/>
                <w:szCs w:val="21"/>
                <w:u w:val="none"/>
              </w:rPr>
            </w:pPr>
          </w:p>
        </w:tc>
      </w:tr>
      <w:tr w14:paraId="77B8A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687F75D1">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10489F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nil"/>
              <w:left w:val="nil"/>
              <w:bottom w:val="single" w:color="000000" w:sz="8" w:space="0"/>
              <w:right w:val="single" w:color="000000" w:sz="8" w:space="0"/>
            </w:tcBorders>
            <w:shd w:val="clear" w:color="auto" w:fill="auto"/>
            <w:vAlign w:val="center"/>
          </w:tcPr>
          <w:p w14:paraId="63C9164B">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数字纳税实务</w:t>
            </w:r>
          </w:p>
        </w:tc>
        <w:tc>
          <w:tcPr>
            <w:tcW w:w="0" w:type="auto"/>
            <w:tcBorders>
              <w:top w:val="nil"/>
              <w:left w:val="nil"/>
              <w:bottom w:val="single" w:color="000000" w:sz="8" w:space="0"/>
              <w:right w:val="single" w:color="000000" w:sz="8" w:space="0"/>
            </w:tcBorders>
            <w:shd w:val="clear" w:color="auto" w:fill="auto"/>
            <w:vAlign w:val="center"/>
          </w:tcPr>
          <w:p w14:paraId="639B9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3B0140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0" w:type="auto"/>
            <w:tcBorders>
              <w:top w:val="nil"/>
              <w:left w:val="nil"/>
              <w:bottom w:val="single" w:color="000000" w:sz="8" w:space="0"/>
              <w:right w:val="single" w:color="000000" w:sz="8" w:space="0"/>
            </w:tcBorders>
            <w:shd w:val="clear" w:color="auto" w:fill="auto"/>
            <w:vAlign w:val="center"/>
          </w:tcPr>
          <w:p w14:paraId="7D2880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0" w:type="auto"/>
            <w:tcBorders>
              <w:top w:val="nil"/>
              <w:left w:val="nil"/>
              <w:bottom w:val="single" w:color="000000" w:sz="8" w:space="0"/>
              <w:right w:val="single" w:color="000000" w:sz="8" w:space="0"/>
            </w:tcBorders>
            <w:shd w:val="clear" w:color="auto" w:fill="auto"/>
            <w:vAlign w:val="center"/>
          </w:tcPr>
          <w:p w14:paraId="70E819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0" w:type="auto"/>
            <w:tcBorders>
              <w:top w:val="nil"/>
              <w:left w:val="nil"/>
              <w:bottom w:val="single" w:color="000000" w:sz="8" w:space="0"/>
              <w:right w:val="single" w:color="000000" w:sz="8" w:space="0"/>
            </w:tcBorders>
            <w:shd w:val="clear" w:color="auto" w:fill="auto"/>
            <w:vAlign w:val="center"/>
          </w:tcPr>
          <w:p w14:paraId="4F8C0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0" w:type="auto"/>
            <w:tcBorders>
              <w:top w:val="nil"/>
              <w:left w:val="nil"/>
              <w:bottom w:val="single" w:color="000000" w:sz="8" w:space="0"/>
              <w:right w:val="single" w:color="000000" w:sz="8" w:space="0"/>
            </w:tcBorders>
            <w:shd w:val="clear" w:color="auto" w:fill="auto"/>
            <w:vAlign w:val="center"/>
          </w:tcPr>
          <w:p w14:paraId="4A48F367">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10A4F7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0" w:type="auto"/>
            <w:tcBorders>
              <w:top w:val="nil"/>
              <w:left w:val="nil"/>
              <w:bottom w:val="single" w:color="000000" w:sz="8" w:space="0"/>
              <w:right w:val="single" w:color="000000" w:sz="8" w:space="0"/>
            </w:tcBorders>
            <w:shd w:val="clear" w:color="auto" w:fill="auto"/>
            <w:vAlign w:val="center"/>
          </w:tcPr>
          <w:p w14:paraId="74CC6791">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FAC4676">
            <w:pPr>
              <w:jc w:val="center"/>
              <w:rPr>
                <w:rFonts w:hint="eastAsia" w:ascii="宋体" w:hAnsi="宋体" w:eastAsia="宋体" w:cs="宋体"/>
                <w:i w:val="0"/>
                <w:iCs w:val="0"/>
                <w:color w:val="000000"/>
                <w:sz w:val="18"/>
                <w:szCs w:val="18"/>
                <w:u w:val="none"/>
              </w:rPr>
            </w:pPr>
          </w:p>
        </w:tc>
        <w:tc>
          <w:tcPr>
            <w:tcW w:w="487" w:type="dxa"/>
            <w:tcBorders>
              <w:top w:val="nil"/>
              <w:left w:val="nil"/>
              <w:bottom w:val="single" w:color="000000" w:sz="8" w:space="0"/>
              <w:right w:val="single" w:color="000000" w:sz="8" w:space="0"/>
            </w:tcBorders>
            <w:shd w:val="clear" w:color="auto" w:fill="auto"/>
            <w:vAlign w:val="center"/>
          </w:tcPr>
          <w:p w14:paraId="3ACEEE7D">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039E11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001367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055C7958">
            <w:pPr>
              <w:jc w:val="center"/>
              <w:rPr>
                <w:rFonts w:hint="default" w:ascii="Arial" w:hAnsi="Arial" w:eastAsia="宋体" w:cs="Arial"/>
                <w:i w:val="0"/>
                <w:iCs w:val="0"/>
                <w:color w:val="000000"/>
                <w:sz w:val="21"/>
                <w:szCs w:val="21"/>
                <w:u w:val="none"/>
              </w:rPr>
            </w:pPr>
          </w:p>
        </w:tc>
      </w:tr>
      <w:tr w14:paraId="612EE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069D5385">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74E3BE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0" w:type="auto"/>
            <w:tcBorders>
              <w:top w:val="nil"/>
              <w:left w:val="nil"/>
              <w:bottom w:val="single" w:color="000000" w:sz="8" w:space="0"/>
              <w:right w:val="single" w:color="000000" w:sz="8" w:space="0"/>
            </w:tcBorders>
            <w:shd w:val="clear" w:color="auto" w:fill="auto"/>
            <w:vAlign w:val="center"/>
          </w:tcPr>
          <w:p w14:paraId="210AEA70">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企业法律实务</w:t>
            </w:r>
          </w:p>
        </w:tc>
        <w:tc>
          <w:tcPr>
            <w:tcW w:w="0" w:type="auto"/>
            <w:tcBorders>
              <w:top w:val="nil"/>
              <w:left w:val="nil"/>
              <w:bottom w:val="single" w:color="000000" w:sz="8" w:space="0"/>
              <w:right w:val="single" w:color="000000" w:sz="8" w:space="0"/>
            </w:tcBorders>
            <w:shd w:val="clear" w:color="auto" w:fill="auto"/>
            <w:vAlign w:val="center"/>
          </w:tcPr>
          <w:p w14:paraId="13B292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nil"/>
              <w:left w:val="nil"/>
              <w:bottom w:val="single" w:color="000000" w:sz="8" w:space="0"/>
              <w:right w:val="single" w:color="000000" w:sz="8" w:space="0"/>
            </w:tcBorders>
            <w:shd w:val="clear" w:color="auto" w:fill="auto"/>
            <w:vAlign w:val="center"/>
          </w:tcPr>
          <w:p w14:paraId="76F862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nil"/>
              <w:left w:val="nil"/>
              <w:bottom w:val="single" w:color="000000" w:sz="8" w:space="0"/>
              <w:right w:val="single" w:color="000000" w:sz="8" w:space="0"/>
            </w:tcBorders>
            <w:shd w:val="clear" w:color="auto" w:fill="auto"/>
            <w:vAlign w:val="center"/>
          </w:tcPr>
          <w:p w14:paraId="481BDE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nil"/>
              <w:left w:val="nil"/>
              <w:bottom w:val="single" w:color="000000" w:sz="8" w:space="0"/>
              <w:right w:val="single" w:color="000000" w:sz="8" w:space="0"/>
            </w:tcBorders>
            <w:shd w:val="clear" w:color="auto" w:fill="auto"/>
            <w:vAlign w:val="center"/>
          </w:tcPr>
          <w:p w14:paraId="03E061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4B10A2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62EAE90C">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507BC630">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4585AA1A">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392FC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87" w:type="dxa"/>
            <w:tcBorders>
              <w:top w:val="nil"/>
              <w:left w:val="nil"/>
              <w:bottom w:val="single" w:color="000000" w:sz="8" w:space="0"/>
              <w:right w:val="single" w:color="000000" w:sz="8" w:space="0"/>
            </w:tcBorders>
            <w:shd w:val="clear" w:color="auto" w:fill="auto"/>
            <w:vAlign w:val="center"/>
          </w:tcPr>
          <w:p w14:paraId="50373B9C">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476632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047DC0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8" w:space="0"/>
              <w:right w:val="single" w:color="000000" w:sz="8" w:space="0"/>
            </w:tcBorders>
            <w:shd w:val="clear" w:color="auto" w:fill="auto"/>
            <w:vAlign w:val="center"/>
          </w:tcPr>
          <w:p w14:paraId="619C0459">
            <w:pPr>
              <w:jc w:val="center"/>
              <w:rPr>
                <w:rFonts w:hint="default" w:ascii="Arial" w:hAnsi="Arial" w:eastAsia="宋体" w:cs="Arial"/>
                <w:i w:val="0"/>
                <w:iCs w:val="0"/>
                <w:color w:val="000000"/>
                <w:sz w:val="21"/>
                <w:szCs w:val="21"/>
                <w:u w:val="none"/>
              </w:rPr>
            </w:pPr>
          </w:p>
        </w:tc>
      </w:tr>
      <w:tr w14:paraId="72346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5D939D44">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0C8AFD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0" w:type="auto"/>
            <w:tcBorders>
              <w:top w:val="nil"/>
              <w:left w:val="nil"/>
              <w:bottom w:val="single" w:color="000000" w:sz="8" w:space="0"/>
              <w:right w:val="single" w:color="000000" w:sz="8" w:space="0"/>
            </w:tcBorders>
            <w:shd w:val="clear" w:color="auto" w:fill="auto"/>
            <w:vAlign w:val="center"/>
          </w:tcPr>
          <w:p w14:paraId="386C608C">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大数据审计</w:t>
            </w:r>
          </w:p>
        </w:tc>
        <w:tc>
          <w:tcPr>
            <w:tcW w:w="0" w:type="auto"/>
            <w:tcBorders>
              <w:top w:val="nil"/>
              <w:left w:val="nil"/>
              <w:bottom w:val="single" w:color="000000" w:sz="8" w:space="0"/>
              <w:right w:val="single" w:color="000000" w:sz="8" w:space="0"/>
            </w:tcBorders>
            <w:shd w:val="clear" w:color="auto" w:fill="auto"/>
            <w:vAlign w:val="center"/>
          </w:tcPr>
          <w:p w14:paraId="3845EE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nil"/>
              <w:left w:val="nil"/>
              <w:bottom w:val="single" w:color="000000" w:sz="8" w:space="0"/>
              <w:right w:val="single" w:color="000000" w:sz="8" w:space="0"/>
            </w:tcBorders>
            <w:shd w:val="clear" w:color="auto" w:fill="auto"/>
            <w:vAlign w:val="center"/>
          </w:tcPr>
          <w:p w14:paraId="7AA891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nil"/>
              <w:left w:val="nil"/>
              <w:bottom w:val="single" w:color="000000" w:sz="8" w:space="0"/>
              <w:right w:val="single" w:color="000000" w:sz="8" w:space="0"/>
            </w:tcBorders>
            <w:shd w:val="clear" w:color="auto" w:fill="auto"/>
            <w:vAlign w:val="center"/>
          </w:tcPr>
          <w:p w14:paraId="5F360B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nil"/>
              <w:left w:val="nil"/>
              <w:bottom w:val="single" w:color="000000" w:sz="8" w:space="0"/>
              <w:right w:val="single" w:color="000000" w:sz="8" w:space="0"/>
            </w:tcBorders>
            <w:shd w:val="clear" w:color="auto" w:fill="auto"/>
            <w:vAlign w:val="center"/>
          </w:tcPr>
          <w:p w14:paraId="23EC2C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37239A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4FD286E3">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03B2E95B">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053F1205">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43CCE0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87" w:type="dxa"/>
            <w:tcBorders>
              <w:top w:val="nil"/>
              <w:left w:val="nil"/>
              <w:bottom w:val="single" w:color="000000" w:sz="8" w:space="0"/>
              <w:right w:val="single" w:color="000000" w:sz="8" w:space="0"/>
            </w:tcBorders>
            <w:shd w:val="clear" w:color="auto" w:fill="auto"/>
            <w:vAlign w:val="center"/>
          </w:tcPr>
          <w:p w14:paraId="1D7D9969">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3E6DD8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59C834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690B2BBC">
            <w:pPr>
              <w:jc w:val="center"/>
              <w:rPr>
                <w:rFonts w:hint="default" w:ascii="Arial" w:hAnsi="Arial" w:eastAsia="宋体" w:cs="Arial"/>
                <w:i w:val="0"/>
                <w:iCs w:val="0"/>
                <w:color w:val="000000"/>
                <w:sz w:val="21"/>
                <w:szCs w:val="21"/>
                <w:u w:val="none"/>
              </w:rPr>
            </w:pPr>
          </w:p>
        </w:tc>
      </w:tr>
      <w:tr w14:paraId="1084A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58CAA4DC">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2DC25F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0" w:type="auto"/>
            <w:tcBorders>
              <w:top w:val="nil"/>
              <w:left w:val="nil"/>
              <w:bottom w:val="single" w:color="000000" w:sz="8" w:space="0"/>
              <w:right w:val="single" w:color="000000" w:sz="8" w:space="0"/>
            </w:tcBorders>
            <w:shd w:val="clear" w:color="auto" w:fill="auto"/>
            <w:vAlign w:val="center"/>
          </w:tcPr>
          <w:p w14:paraId="2C9AAE28">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会计专题</w:t>
            </w:r>
          </w:p>
        </w:tc>
        <w:tc>
          <w:tcPr>
            <w:tcW w:w="0" w:type="auto"/>
            <w:tcBorders>
              <w:top w:val="nil"/>
              <w:left w:val="nil"/>
              <w:bottom w:val="single" w:color="000000" w:sz="8" w:space="0"/>
              <w:right w:val="single" w:color="000000" w:sz="8" w:space="0"/>
            </w:tcBorders>
            <w:shd w:val="clear" w:color="auto" w:fill="auto"/>
            <w:vAlign w:val="center"/>
          </w:tcPr>
          <w:p w14:paraId="434666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nil"/>
              <w:left w:val="nil"/>
              <w:bottom w:val="single" w:color="000000" w:sz="8" w:space="0"/>
              <w:right w:val="single" w:color="000000" w:sz="8" w:space="0"/>
            </w:tcBorders>
            <w:shd w:val="clear" w:color="auto" w:fill="auto"/>
            <w:vAlign w:val="center"/>
          </w:tcPr>
          <w:p w14:paraId="6782D6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nil"/>
              <w:left w:val="nil"/>
              <w:bottom w:val="single" w:color="000000" w:sz="8" w:space="0"/>
              <w:right w:val="single" w:color="000000" w:sz="8" w:space="0"/>
            </w:tcBorders>
            <w:shd w:val="clear" w:color="auto" w:fill="auto"/>
            <w:vAlign w:val="center"/>
          </w:tcPr>
          <w:p w14:paraId="5C61C9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nil"/>
              <w:left w:val="nil"/>
              <w:bottom w:val="single" w:color="000000" w:sz="8" w:space="0"/>
              <w:right w:val="single" w:color="000000" w:sz="8" w:space="0"/>
            </w:tcBorders>
            <w:shd w:val="clear" w:color="auto" w:fill="auto"/>
            <w:vAlign w:val="center"/>
          </w:tcPr>
          <w:p w14:paraId="35A1FC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7955B1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2178F4B3">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1593FA66">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54192F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nil"/>
              <w:left w:val="nil"/>
              <w:bottom w:val="single" w:color="000000" w:sz="8" w:space="0"/>
              <w:right w:val="single" w:color="000000" w:sz="8" w:space="0"/>
            </w:tcBorders>
            <w:shd w:val="clear" w:color="auto" w:fill="auto"/>
            <w:vAlign w:val="center"/>
          </w:tcPr>
          <w:p w14:paraId="22C55750">
            <w:pPr>
              <w:jc w:val="center"/>
              <w:rPr>
                <w:rFonts w:hint="eastAsia" w:ascii="宋体" w:hAnsi="宋体" w:eastAsia="宋体" w:cs="宋体"/>
                <w:i w:val="0"/>
                <w:iCs w:val="0"/>
                <w:color w:val="000000"/>
                <w:sz w:val="18"/>
                <w:szCs w:val="18"/>
                <w:u w:val="none"/>
              </w:rPr>
            </w:pPr>
          </w:p>
        </w:tc>
        <w:tc>
          <w:tcPr>
            <w:tcW w:w="487" w:type="dxa"/>
            <w:tcBorders>
              <w:top w:val="nil"/>
              <w:left w:val="nil"/>
              <w:bottom w:val="single" w:color="000000" w:sz="8" w:space="0"/>
              <w:right w:val="single" w:color="000000" w:sz="8" w:space="0"/>
            </w:tcBorders>
            <w:shd w:val="clear" w:color="auto" w:fill="auto"/>
            <w:vAlign w:val="center"/>
          </w:tcPr>
          <w:p w14:paraId="12E8BA07">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6627FF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5FEBFD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599257DA">
            <w:pPr>
              <w:jc w:val="center"/>
              <w:rPr>
                <w:rFonts w:hint="default" w:ascii="Arial" w:hAnsi="Arial" w:eastAsia="宋体" w:cs="Arial"/>
                <w:i w:val="0"/>
                <w:iCs w:val="0"/>
                <w:color w:val="000000"/>
                <w:sz w:val="21"/>
                <w:szCs w:val="21"/>
                <w:u w:val="none"/>
              </w:rPr>
            </w:pPr>
          </w:p>
        </w:tc>
      </w:tr>
      <w:tr w14:paraId="14481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6574CC1D">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239A1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nil"/>
              <w:left w:val="nil"/>
              <w:bottom w:val="single" w:color="000000" w:sz="8" w:space="0"/>
              <w:right w:val="single" w:color="000000" w:sz="8" w:space="0"/>
            </w:tcBorders>
            <w:shd w:val="clear" w:color="auto" w:fill="auto"/>
            <w:vAlign w:val="center"/>
          </w:tcPr>
          <w:p w14:paraId="585DA5DF">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纳税筹划</w:t>
            </w:r>
          </w:p>
        </w:tc>
        <w:tc>
          <w:tcPr>
            <w:tcW w:w="0" w:type="auto"/>
            <w:tcBorders>
              <w:top w:val="nil"/>
              <w:left w:val="nil"/>
              <w:bottom w:val="single" w:color="000000" w:sz="8" w:space="0"/>
              <w:right w:val="single" w:color="000000" w:sz="8" w:space="0"/>
            </w:tcBorders>
            <w:shd w:val="clear" w:color="auto" w:fill="auto"/>
            <w:vAlign w:val="center"/>
          </w:tcPr>
          <w:p w14:paraId="02B15D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nil"/>
              <w:left w:val="nil"/>
              <w:bottom w:val="single" w:color="000000" w:sz="8" w:space="0"/>
              <w:right w:val="single" w:color="000000" w:sz="8" w:space="0"/>
            </w:tcBorders>
            <w:shd w:val="clear" w:color="auto" w:fill="auto"/>
            <w:vAlign w:val="center"/>
          </w:tcPr>
          <w:p w14:paraId="3CAEF0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nil"/>
              <w:left w:val="nil"/>
              <w:bottom w:val="single" w:color="000000" w:sz="8" w:space="0"/>
              <w:right w:val="single" w:color="000000" w:sz="8" w:space="0"/>
            </w:tcBorders>
            <w:shd w:val="clear" w:color="auto" w:fill="auto"/>
            <w:vAlign w:val="center"/>
          </w:tcPr>
          <w:p w14:paraId="735BB0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nil"/>
              <w:left w:val="nil"/>
              <w:bottom w:val="single" w:color="000000" w:sz="8" w:space="0"/>
              <w:right w:val="single" w:color="000000" w:sz="8" w:space="0"/>
            </w:tcBorders>
            <w:shd w:val="clear" w:color="auto" w:fill="auto"/>
            <w:vAlign w:val="center"/>
          </w:tcPr>
          <w:p w14:paraId="4197B7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11D674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19F8F65C">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743CD927">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57DC16C">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110ECC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87" w:type="dxa"/>
            <w:tcBorders>
              <w:top w:val="nil"/>
              <w:left w:val="nil"/>
              <w:bottom w:val="single" w:color="000000" w:sz="8" w:space="0"/>
              <w:right w:val="single" w:color="000000" w:sz="8" w:space="0"/>
            </w:tcBorders>
            <w:shd w:val="clear" w:color="auto" w:fill="auto"/>
            <w:vAlign w:val="center"/>
          </w:tcPr>
          <w:p w14:paraId="0C190EA1">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1C1F1A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7E5B34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43837973">
            <w:pPr>
              <w:jc w:val="center"/>
              <w:rPr>
                <w:rFonts w:hint="default" w:ascii="Arial" w:hAnsi="Arial" w:eastAsia="宋体" w:cs="Arial"/>
                <w:i w:val="0"/>
                <w:iCs w:val="0"/>
                <w:color w:val="000000"/>
                <w:sz w:val="21"/>
                <w:szCs w:val="21"/>
                <w:u w:val="none"/>
              </w:rPr>
            </w:pPr>
          </w:p>
        </w:tc>
      </w:tr>
      <w:tr w14:paraId="58220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53F0C1DA">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32AB4B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0" w:type="auto"/>
            <w:tcBorders>
              <w:top w:val="nil"/>
              <w:left w:val="nil"/>
              <w:bottom w:val="single" w:color="000000" w:sz="8" w:space="0"/>
              <w:right w:val="single" w:color="000000" w:sz="8" w:space="0"/>
            </w:tcBorders>
            <w:shd w:val="clear" w:color="auto" w:fill="auto"/>
            <w:vAlign w:val="center"/>
          </w:tcPr>
          <w:p w14:paraId="25A628A8">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智慧化税费申报与管理</w:t>
            </w:r>
          </w:p>
        </w:tc>
        <w:tc>
          <w:tcPr>
            <w:tcW w:w="0" w:type="auto"/>
            <w:tcBorders>
              <w:top w:val="nil"/>
              <w:left w:val="nil"/>
              <w:bottom w:val="single" w:color="000000" w:sz="8" w:space="0"/>
              <w:right w:val="single" w:color="000000" w:sz="8" w:space="0"/>
            </w:tcBorders>
            <w:shd w:val="clear" w:color="auto" w:fill="auto"/>
            <w:vAlign w:val="center"/>
          </w:tcPr>
          <w:p w14:paraId="09702E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nil"/>
              <w:left w:val="nil"/>
              <w:bottom w:val="single" w:color="000000" w:sz="8" w:space="0"/>
              <w:right w:val="single" w:color="000000" w:sz="8" w:space="0"/>
            </w:tcBorders>
            <w:shd w:val="clear" w:color="auto" w:fill="auto"/>
            <w:vAlign w:val="center"/>
          </w:tcPr>
          <w:p w14:paraId="31848A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nil"/>
              <w:left w:val="nil"/>
              <w:bottom w:val="single" w:color="000000" w:sz="8" w:space="0"/>
              <w:right w:val="single" w:color="000000" w:sz="8" w:space="0"/>
            </w:tcBorders>
            <w:shd w:val="clear" w:color="auto" w:fill="auto"/>
            <w:vAlign w:val="center"/>
          </w:tcPr>
          <w:p w14:paraId="62BBC1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nil"/>
              <w:left w:val="nil"/>
              <w:bottom w:val="single" w:color="000000" w:sz="8" w:space="0"/>
              <w:right w:val="single" w:color="000000" w:sz="8" w:space="0"/>
            </w:tcBorders>
            <w:shd w:val="clear" w:color="auto" w:fill="auto"/>
            <w:vAlign w:val="center"/>
          </w:tcPr>
          <w:p w14:paraId="31195F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043DA2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6924FBB6">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01376198">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2B13F1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nil"/>
              <w:left w:val="nil"/>
              <w:bottom w:val="single" w:color="000000" w:sz="8" w:space="0"/>
              <w:right w:val="single" w:color="000000" w:sz="8" w:space="0"/>
            </w:tcBorders>
            <w:shd w:val="clear" w:color="auto" w:fill="auto"/>
            <w:vAlign w:val="center"/>
          </w:tcPr>
          <w:p w14:paraId="3CEB4742">
            <w:pPr>
              <w:jc w:val="center"/>
              <w:rPr>
                <w:rFonts w:hint="eastAsia" w:ascii="宋体" w:hAnsi="宋体" w:eastAsia="宋体" w:cs="宋体"/>
                <w:i w:val="0"/>
                <w:iCs w:val="0"/>
                <w:color w:val="000000"/>
                <w:sz w:val="18"/>
                <w:szCs w:val="18"/>
                <w:u w:val="none"/>
              </w:rPr>
            </w:pPr>
          </w:p>
        </w:tc>
        <w:tc>
          <w:tcPr>
            <w:tcW w:w="487" w:type="dxa"/>
            <w:tcBorders>
              <w:top w:val="nil"/>
              <w:left w:val="nil"/>
              <w:bottom w:val="single" w:color="000000" w:sz="8" w:space="0"/>
              <w:right w:val="single" w:color="000000" w:sz="8" w:space="0"/>
            </w:tcBorders>
            <w:shd w:val="clear" w:color="auto" w:fill="auto"/>
            <w:vAlign w:val="center"/>
          </w:tcPr>
          <w:p w14:paraId="5E55F008">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2CF4EE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01EB76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4B101548">
            <w:pPr>
              <w:jc w:val="center"/>
              <w:rPr>
                <w:rFonts w:hint="default" w:ascii="Arial" w:hAnsi="Arial" w:eastAsia="宋体" w:cs="Arial"/>
                <w:i w:val="0"/>
                <w:iCs w:val="0"/>
                <w:color w:val="000000"/>
                <w:sz w:val="21"/>
                <w:szCs w:val="21"/>
                <w:u w:val="none"/>
              </w:rPr>
            </w:pPr>
          </w:p>
        </w:tc>
      </w:tr>
      <w:tr w14:paraId="025CE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305F41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职业能力拓展课</w:t>
            </w:r>
          </w:p>
        </w:tc>
        <w:tc>
          <w:tcPr>
            <w:tcW w:w="0" w:type="auto"/>
            <w:tcBorders>
              <w:top w:val="nil"/>
              <w:left w:val="nil"/>
              <w:bottom w:val="single" w:color="000000" w:sz="8" w:space="0"/>
              <w:right w:val="single" w:color="000000" w:sz="8" w:space="0"/>
            </w:tcBorders>
            <w:shd w:val="clear" w:color="auto" w:fill="auto"/>
            <w:vAlign w:val="center"/>
          </w:tcPr>
          <w:p w14:paraId="7105CD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0" w:type="auto"/>
            <w:tcBorders>
              <w:top w:val="nil"/>
              <w:left w:val="nil"/>
              <w:bottom w:val="single" w:color="000000" w:sz="8" w:space="0"/>
              <w:right w:val="single" w:color="000000" w:sz="8" w:space="0"/>
            </w:tcBorders>
            <w:shd w:val="clear" w:color="auto" w:fill="auto"/>
            <w:vAlign w:val="center"/>
          </w:tcPr>
          <w:p w14:paraId="32ADDB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大学生创业基础</w:t>
            </w:r>
          </w:p>
        </w:tc>
        <w:tc>
          <w:tcPr>
            <w:tcW w:w="0" w:type="auto"/>
            <w:tcBorders>
              <w:top w:val="nil"/>
              <w:left w:val="nil"/>
              <w:bottom w:val="single" w:color="000000" w:sz="8" w:space="0"/>
              <w:right w:val="single" w:color="000000" w:sz="8" w:space="0"/>
            </w:tcBorders>
            <w:shd w:val="clear" w:color="auto" w:fill="auto"/>
            <w:vAlign w:val="center"/>
          </w:tcPr>
          <w:p w14:paraId="4E6FCC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nil"/>
              <w:left w:val="nil"/>
              <w:bottom w:val="single" w:color="000000" w:sz="8" w:space="0"/>
              <w:right w:val="single" w:color="000000" w:sz="8" w:space="0"/>
            </w:tcBorders>
            <w:shd w:val="clear" w:color="auto" w:fill="auto"/>
            <w:vAlign w:val="center"/>
          </w:tcPr>
          <w:p w14:paraId="30FAF8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nil"/>
              <w:left w:val="nil"/>
              <w:bottom w:val="single" w:color="000000" w:sz="8" w:space="0"/>
              <w:right w:val="single" w:color="000000" w:sz="8" w:space="0"/>
            </w:tcBorders>
            <w:shd w:val="clear" w:color="auto" w:fill="auto"/>
            <w:vAlign w:val="center"/>
          </w:tcPr>
          <w:p w14:paraId="610FF0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nil"/>
              <w:left w:val="nil"/>
              <w:bottom w:val="single" w:color="000000" w:sz="8" w:space="0"/>
              <w:right w:val="single" w:color="000000" w:sz="8" w:space="0"/>
            </w:tcBorders>
            <w:shd w:val="clear" w:color="auto" w:fill="auto"/>
            <w:vAlign w:val="center"/>
          </w:tcPr>
          <w:p w14:paraId="502EDD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nil"/>
              <w:left w:val="nil"/>
              <w:bottom w:val="single" w:color="000000" w:sz="8" w:space="0"/>
              <w:right w:val="single" w:color="000000" w:sz="8" w:space="0"/>
            </w:tcBorders>
            <w:shd w:val="clear" w:color="auto" w:fill="auto"/>
            <w:vAlign w:val="center"/>
          </w:tcPr>
          <w:p w14:paraId="0EC667C5">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7AD9D0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nil"/>
              <w:left w:val="nil"/>
              <w:bottom w:val="single" w:color="000000" w:sz="8" w:space="0"/>
              <w:right w:val="single" w:color="000000" w:sz="8" w:space="0"/>
            </w:tcBorders>
            <w:shd w:val="clear" w:color="auto" w:fill="auto"/>
            <w:vAlign w:val="center"/>
          </w:tcPr>
          <w:p w14:paraId="4A739974">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07F91578">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3418B778">
            <w:pPr>
              <w:jc w:val="center"/>
              <w:rPr>
                <w:rFonts w:hint="default" w:ascii="Arial" w:hAnsi="Arial" w:eastAsia="宋体" w:cs="Arial"/>
                <w:i w:val="0"/>
                <w:iCs w:val="0"/>
                <w:color w:val="000000"/>
                <w:sz w:val="21"/>
                <w:szCs w:val="21"/>
                <w:u w:val="none"/>
              </w:rPr>
            </w:pPr>
          </w:p>
        </w:tc>
        <w:tc>
          <w:tcPr>
            <w:tcW w:w="487" w:type="dxa"/>
            <w:tcBorders>
              <w:top w:val="nil"/>
              <w:left w:val="nil"/>
              <w:bottom w:val="single" w:color="000000" w:sz="8" w:space="0"/>
              <w:right w:val="single" w:color="000000" w:sz="8" w:space="0"/>
            </w:tcBorders>
            <w:shd w:val="clear" w:color="auto" w:fill="auto"/>
            <w:vAlign w:val="center"/>
          </w:tcPr>
          <w:p w14:paraId="129ACE80">
            <w:pPr>
              <w:jc w:val="center"/>
              <w:rPr>
                <w:rFonts w:hint="default" w:ascii="Arial" w:hAnsi="Arial" w:eastAsia="宋体" w:cs="Arial"/>
                <w:i w:val="0"/>
                <w:iCs w:val="0"/>
                <w:color w:val="000000"/>
                <w:sz w:val="21"/>
                <w:szCs w:val="21"/>
                <w:u w:val="none"/>
              </w:rPr>
            </w:pPr>
          </w:p>
        </w:tc>
        <w:tc>
          <w:tcPr>
            <w:tcW w:w="510" w:type="dxa"/>
            <w:tcBorders>
              <w:top w:val="nil"/>
              <w:left w:val="nil"/>
              <w:bottom w:val="single" w:color="000000" w:sz="8" w:space="0"/>
              <w:right w:val="single" w:color="000000" w:sz="8" w:space="0"/>
            </w:tcBorders>
            <w:shd w:val="clear" w:color="auto" w:fill="auto"/>
            <w:vAlign w:val="center"/>
          </w:tcPr>
          <w:p w14:paraId="50FE8A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182EF80F">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5C05BECF">
            <w:pPr>
              <w:jc w:val="center"/>
              <w:rPr>
                <w:rFonts w:hint="default" w:ascii="Arial" w:hAnsi="Arial" w:eastAsia="宋体" w:cs="Arial"/>
                <w:i w:val="0"/>
                <w:iCs w:val="0"/>
                <w:color w:val="000000"/>
                <w:sz w:val="21"/>
                <w:szCs w:val="21"/>
                <w:u w:val="none"/>
              </w:rPr>
            </w:pPr>
          </w:p>
        </w:tc>
      </w:tr>
      <w:tr w14:paraId="1CDF5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2BD2E8FB">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1E87FA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0" w:type="auto"/>
            <w:tcBorders>
              <w:top w:val="nil"/>
              <w:left w:val="nil"/>
              <w:bottom w:val="single" w:color="000000" w:sz="8" w:space="0"/>
              <w:right w:val="single" w:color="000000" w:sz="8" w:space="0"/>
            </w:tcBorders>
            <w:shd w:val="clear" w:color="auto" w:fill="auto"/>
            <w:vAlign w:val="center"/>
          </w:tcPr>
          <w:p w14:paraId="2882D2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应用文写作</w:t>
            </w:r>
          </w:p>
        </w:tc>
        <w:tc>
          <w:tcPr>
            <w:tcW w:w="0" w:type="auto"/>
            <w:tcBorders>
              <w:top w:val="nil"/>
              <w:left w:val="nil"/>
              <w:bottom w:val="single" w:color="000000" w:sz="8" w:space="0"/>
              <w:right w:val="single" w:color="000000" w:sz="8" w:space="0"/>
            </w:tcBorders>
            <w:shd w:val="clear" w:color="auto" w:fill="auto"/>
            <w:vAlign w:val="center"/>
          </w:tcPr>
          <w:p w14:paraId="51661F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nil"/>
              <w:left w:val="nil"/>
              <w:bottom w:val="single" w:color="000000" w:sz="8" w:space="0"/>
              <w:right w:val="single" w:color="000000" w:sz="8" w:space="0"/>
            </w:tcBorders>
            <w:shd w:val="clear" w:color="auto" w:fill="auto"/>
            <w:vAlign w:val="center"/>
          </w:tcPr>
          <w:p w14:paraId="055C88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nil"/>
              <w:left w:val="nil"/>
              <w:bottom w:val="single" w:color="000000" w:sz="8" w:space="0"/>
              <w:right w:val="single" w:color="000000" w:sz="8" w:space="0"/>
            </w:tcBorders>
            <w:shd w:val="clear" w:color="auto" w:fill="auto"/>
            <w:vAlign w:val="center"/>
          </w:tcPr>
          <w:p w14:paraId="18DCBA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0" w:type="auto"/>
            <w:tcBorders>
              <w:top w:val="nil"/>
              <w:left w:val="nil"/>
              <w:bottom w:val="single" w:color="000000" w:sz="8" w:space="0"/>
              <w:right w:val="single" w:color="000000" w:sz="8" w:space="0"/>
            </w:tcBorders>
            <w:shd w:val="clear" w:color="auto" w:fill="auto"/>
            <w:vAlign w:val="center"/>
          </w:tcPr>
          <w:p w14:paraId="1D6370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nil"/>
              <w:left w:val="nil"/>
              <w:bottom w:val="single" w:color="000000" w:sz="8" w:space="0"/>
              <w:right w:val="single" w:color="000000" w:sz="8" w:space="0"/>
            </w:tcBorders>
            <w:shd w:val="clear" w:color="auto" w:fill="auto"/>
            <w:vAlign w:val="center"/>
          </w:tcPr>
          <w:p w14:paraId="471E34CB">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12B457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nil"/>
              <w:left w:val="nil"/>
              <w:bottom w:val="single" w:color="000000" w:sz="8" w:space="0"/>
              <w:right w:val="single" w:color="000000" w:sz="8" w:space="0"/>
            </w:tcBorders>
            <w:shd w:val="clear" w:color="auto" w:fill="auto"/>
            <w:vAlign w:val="center"/>
          </w:tcPr>
          <w:p w14:paraId="183B5B42">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7FC76C25">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698EFFA2">
            <w:pPr>
              <w:jc w:val="center"/>
              <w:rPr>
                <w:rFonts w:hint="default" w:ascii="Arial" w:hAnsi="Arial" w:eastAsia="宋体" w:cs="Arial"/>
                <w:i w:val="0"/>
                <w:iCs w:val="0"/>
                <w:color w:val="000000"/>
                <w:sz w:val="21"/>
                <w:szCs w:val="21"/>
                <w:u w:val="none"/>
              </w:rPr>
            </w:pPr>
          </w:p>
        </w:tc>
        <w:tc>
          <w:tcPr>
            <w:tcW w:w="487" w:type="dxa"/>
            <w:tcBorders>
              <w:top w:val="nil"/>
              <w:left w:val="nil"/>
              <w:bottom w:val="single" w:color="000000" w:sz="8" w:space="0"/>
              <w:right w:val="single" w:color="000000" w:sz="8" w:space="0"/>
            </w:tcBorders>
            <w:shd w:val="clear" w:color="auto" w:fill="auto"/>
            <w:vAlign w:val="center"/>
          </w:tcPr>
          <w:p w14:paraId="6B8AAFAB">
            <w:pPr>
              <w:jc w:val="center"/>
              <w:rPr>
                <w:rFonts w:hint="default" w:ascii="Arial" w:hAnsi="Arial" w:eastAsia="宋体" w:cs="Arial"/>
                <w:i w:val="0"/>
                <w:iCs w:val="0"/>
                <w:color w:val="000000"/>
                <w:sz w:val="21"/>
                <w:szCs w:val="21"/>
                <w:u w:val="none"/>
              </w:rPr>
            </w:pPr>
          </w:p>
        </w:tc>
        <w:tc>
          <w:tcPr>
            <w:tcW w:w="510" w:type="dxa"/>
            <w:tcBorders>
              <w:top w:val="nil"/>
              <w:left w:val="nil"/>
              <w:bottom w:val="single" w:color="000000" w:sz="8" w:space="0"/>
              <w:right w:val="single" w:color="000000" w:sz="8" w:space="0"/>
            </w:tcBorders>
            <w:shd w:val="clear" w:color="auto" w:fill="auto"/>
            <w:vAlign w:val="center"/>
          </w:tcPr>
          <w:p w14:paraId="778466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0F1C9211">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70F180C9">
            <w:pPr>
              <w:jc w:val="center"/>
              <w:rPr>
                <w:rFonts w:hint="default" w:ascii="Arial" w:hAnsi="Arial" w:eastAsia="宋体" w:cs="Arial"/>
                <w:i w:val="0"/>
                <w:iCs w:val="0"/>
                <w:color w:val="000000"/>
                <w:sz w:val="21"/>
                <w:szCs w:val="21"/>
                <w:u w:val="none"/>
              </w:rPr>
            </w:pPr>
          </w:p>
        </w:tc>
      </w:tr>
      <w:tr w14:paraId="5AB47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0648E5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实践教学环节</w:t>
            </w:r>
          </w:p>
        </w:tc>
        <w:tc>
          <w:tcPr>
            <w:tcW w:w="0" w:type="auto"/>
            <w:tcBorders>
              <w:top w:val="nil"/>
              <w:left w:val="nil"/>
              <w:bottom w:val="single" w:color="000000" w:sz="8" w:space="0"/>
              <w:right w:val="single" w:color="000000" w:sz="8" w:space="0"/>
            </w:tcBorders>
            <w:shd w:val="clear" w:color="auto" w:fill="auto"/>
            <w:vAlign w:val="center"/>
          </w:tcPr>
          <w:p w14:paraId="0C79C0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nil"/>
              <w:left w:val="nil"/>
              <w:bottom w:val="single" w:color="000000" w:sz="8" w:space="0"/>
              <w:right w:val="single" w:color="000000" w:sz="8" w:space="0"/>
            </w:tcBorders>
            <w:shd w:val="clear" w:color="auto" w:fill="auto"/>
            <w:vAlign w:val="center"/>
          </w:tcPr>
          <w:p w14:paraId="30F7072F">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入学教育</w:t>
            </w:r>
          </w:p>
        </w:tc>
        <w:tc>
          <w:tcPr>
            <w:tcW w:w="0" w:type="auto"/>
            <w:tcBorders>
              <w:top w:val="nil"/>
              <w:left w:val="nil"/>
              <w:bottom w:val="single" w:color="000000" w:sz="8" w:space="0"/>
              <w:right w:val="single" w:color="000000" w:sz="8" w:space="0"/>
            </w:tcBorders>
            <w:shd w:val="clear" w:color="auto" w:fill="auto"/>
            <w:vAlign w:val="center"/>
          </w:tcPr>
          <w:p w14:paraId="631CF7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nil"/>
              <w:left w:val="nil"/>
              <w:bottom w:val="single" w:color="000000" w:sz="8" w:space="0"/>
              <w:right w:val="single" w:color="000000" w:sz="8" w:space="0"/>
            </w:tcBorders>
            <w:shd w:val="clear" w:color="auto" w:fill="auto"/>
            <w:vAlign w:val="center"/>
          </w:tcPr>
          <w:p w14:paraId="2F0CAE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nil"/>
              <w:left w:val="nil"/>
              <w:bottom w:val="single" w:color="000000" w:sz="8" w:space="0"/>
              <w:right w:val="single" w:color="000000" w:sz="8" w:space="0"/>
            </w:tcBorders>
            <w:shd w:val="clear" w:color="auto" w:fill="auto"/>
            <w:vAlign w:val="center"/>
          </w:tcPr>
          <w:p w14:paraId="0DCAC2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6DFB30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nil"/>
              <w:left w:val="nil"/>
              <w:bottom w:val="single" w:color="000000" w:sz="8" w:space="0"/>
              <w:right w:val="single" w:color="000000" w:sz="8" w:space="0"/>
            </w:tcBorders>
            <w:shd w:val="clear" w:color="auto" w:fill="auto"/>
            <w:vAlign w:val="center"/>
          </w:tcPr>
          <w:p w14:paraId="0B3702CC">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5D3EBC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nil"/>
              <w:left w:val="nil"/>
              <w:bottom w:val="single" w:color="000000" w:sz="8" w:space="0"/>
              <w:right w:val="single" w:color="000000" w:sz="8" w:space="0"/>
            </w:tcBorders>
            <w:shd w:val="clear" w:color="auto" w:fill="auto"/>
            <w:vAlign w:val="center"/>
          </w:tcPr>
          <w:p w14:paraId="4EBF9D2B">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254FADD0">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1F01BA81">
            <w:pPr>
              <w:jc w:val="center"/>
              <w:rPr>
                <w:rFonts w:hint="default" w:ascii="Arial" w:hAnsi="Arial" w:eastAsia="宋体" w:cs="Arial"/>
                <w:i w:val="0"/>
                <w:iCs w:val="0"/>
                <w:color w:val="000000"/>
                <w:sz w:val="21"/>
                <w:szCs w:val="21"/>
                <w:u w:val="none"/>
              </w:rPr>
            </w:pPr>
          </w:p>
        </w:tc>
        <w:tc>
          <w:tcPr>
            <w:tcW w:w="487" w:type="dxa"/>
            <w:tcBorders>
              <w:top w:val="nil"/>
              <w:left w:val="nil"/>
              <w:bottom w:val="single" w:color="000000" w:sz="8" w:space="0"/>
              <w:right w:val="single" w:color="000000" w:sz="8" w:space="0"/>
            </w:tcBorders>
            <w:shd w:val="clear" w:color="auto" w:fill="auto"/>
            <w:vAlign w:val="center"/>
          </w:tcPr>
          <w:p w14:paraId="5B7FEEC7">
            <w:pPr>
              <w:jc w:val="center"/>
              <w:rPr>
                <w:rFonts w:hint="eastAsia" w:ascii="宋体" w:hAnsi="宋体" w:eastAsia="宋体" w:cs="宋体"/>
                <w:i w:val="0"/>
                <w:iCs w:val="0"/>
                <w:color w:val="000000"/>
                <w:sz w:val="18"/>
                <w:szCs w:val="18"/>
                <w:u w:val="none"/>
              </w:rPr>
            </w:pPr>
          </w:p>
        </w:tc>
        <w:tc>
          <w:tcPr>
            <w:tcW w:w="510" w:type="dxa"/>
            <w:tcBorders>
              <w:top w:val="nil"/>
              <w:left w:val="nil"/>
              <w:bottom w:val="single" w:color="000000" w:sz="8" w:space="0"/>
              <w:right w:val="single" w:color="000000" w:sz="8" w:space="0"/>
            </w:tcBorders>
            <w:shd w:val="clear" w:color="auto" w:fill="auto"/>
            <w:vAlign w:val="center"/>
          </w:tcPr>
          <w:p w14:paraId="03A252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4D120056">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0DBC7A78">
            <w:pPr>
              <w:jc w:val="center"/>
              <w:rPr>
                <w:rFonts w:hint="default" w:ascii="Arial" w:hAnsi="Arial" w:eastAsia="宋体" w:cs="Arial"/>
                <w:i w:val="0"/>
                <w:iCs w:val="0"/>
                <w:color w:val="000000"/>
                <w:sz w:val="21"/>
                <w:szCs w:val="21"/>
                <w:u w:val="none"/>
              </w:rPr>
            </w:pPr>
          </w:p>
        </w:tc>
      </w:tr>
      <w:tr w14:paraId="32581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62AF6DD4">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75619C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0" w:type="auto"/>
            <w:tcBorders>
              <w:top w:val="nil"/>
              <w:left w:val="nil"/>
              <w:bottom w:val="single" w:color="000000" w:sz="8" w:space="0"/>
              <w:right w:val="single" w:color="000000" w:sz="8" w:space="0"/>
            </w:tcBorders>
            <w:shd w:val="clear" w:color="auto" w:fill="auto"/>
            <w:vAlign w:val="center"/>
          </w:tcPr>
          <w:p w14:paraId="43B8427F">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毕业教育</w:t>
            </w:r>
          </w:p>
        </w:tc>
        <w:tc>
          <w:tcPr>
            <w:tcW w:w="0" w:type="auto"/>
            <w:tcBorders>
              <w:top w:val="nil"/>
              <w:left w:val="nil"/>
              <w:bottom w:val="single" w:color="000000" w:sz="8" w:space="0"/>
              <w:right w:val="single" w:color="000000" w:sz="8" w:space="0"/>
            </w:tcBorders>
            <w:shd w:val="clear" w:color="auto" w:fill="auto"/>
            <w:vAlign w:val="center"/>
          </w:tcPr>
          <w:p w14:paraId="569DB4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nil"/>
              <w:left w:val="nil"/>
              <w:bottom w:val="single" w:color="000000" w:sz="8" w:space="0"/>
              <w:right w:val="single" w:color="000000" w:sz="8" w:space="0"/>
            </w:tcBorders>
            <w:shd w:val="clear" w:color="auto" w:fill="auto"/>
            <w:vAlign w:val="center"/>
          </w:tcPr>
          <w:p w14:paraId="1E0E44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nil"/>
              <w:left w:val="nil"/>
              <w:bottom w:val="single" w:color="000000" w:sz="8" w:space="0"/>
              <w:right w:val="single" w:color="000000" w:sz="8" w:space="0"/>
            </w:tcBorders>
            <w:shd w:val="clear" w:color="auto" w:fill="auto"/>
            <w:vAlign w:val="center"/>
          </w:tcPr>
          <w:p w14:paraId="140B93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1F7F7C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nil"/>
              <w:left w:val="nil"/>
              <w:bottom w:val="single" w:color="000000" w:sz="8" w:space="0"/>
              <w:right w:val="single" w:color="000000" w:sz="8" w:space="0"/>
            </w:tcBorders>
            <w:shd w:val="clear" w:color="auto" w:fill="auto"/>
            <w:vAlign w:val="center"/>
          </w:tcPr>
          <w:p w14:paraId="29F1FED6">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621222D2">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723476BC">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0392FA72">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64405449">
            <w:pPr>
              <w:jc w:val="center"/>
              <w:rPr>
                <w:rFonts w:hint="default" w:ascii="Arial" w:hAnsi="Arial" w:eastAsia="宋体" w:cs="Arial"/>
                <w:i w:val="0"/>
                <w:iCs w:val="0"/>
                <w:color w:val="000000"/>
                <w:sz w:val="21"/>
                <w:szCs w:val="21"/>
                <w:u w:val="none"/>
              </w:rPr>
            </w:pPr>
          </w:p>
        </w:tc>
        <w:tc>
          <w:tcPr>
            <w:tcW w:w="487" w:type="dxa"/>
            <w:tcBorders>
              <w:top w:val="nil"/>
              <w:left w:val="nil"/>
              <w:bottom w:val="single" w:color="000000" w:sz="8" w:space="0"/>
              <w:right w:val="single" w:color="000000" w:sz="8" w:space="0"/>
            </w:tcBorders>
            <w:shd w:val="clear" w:color="auto" w:fill="auto"/>
            <w:vAlign w:val="center"/>
          </w:tcPr>
          <w:p w14:paraId="1B2E30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10" w:type="dxa"/>
            <w:tcBorders>
              <w:top w:val="nil"/>
              <w:left w:val="nil"/>
              <w:bottom w:val="single" w:color="000000" w:sz="8" w:space="0"/>
              <w:right w:val="single" w:color="000000" w:sz="8" w:space="0"/>
            </w:tcBorders>
            <w:shd w:val="clear" w:color="auto" w:fill="auto"/>
            <w:vAlign w:val="center"/>
          </w:tcPr>
          <w:p w14:paraId="626447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4CC41FA5">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5F862C15">
            <w:pPr>
              <w:jc w:val="center"/>
              <w:rPr>
                <w:rFonts w:hint="default" w:ascii="Arial" w:hAnsi="Arial" w:eastAsia="宋体" w:cs="Arial"/>
                <w:i w:val="0"/>
                <w:iCs w:val="0"/>
                <w:color w:val="000000"/>
                <w:sz w:val="21"/>
                <w:szCs w:val="21"/>
                <w:u w:val="none"/>
              </w:rPr>
            </w:pPr>
          </w:p>
        </w:tc>
      </w:tr>
      <w:tr w14:paraId="6DA4C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5FE5B4D6">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6F1AD7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0" w:type="auto"/>
            <w:tcBorders>
              <w:top w:val="nil"/>
              <w:left w:val="nil"/>
              <w:bottom w:val="single" w:color="000000" w:sz="8" w:space="0"/>
              <w:right w:val="single" w:color="000000" w:sz="8" w:space="0"/>
            </w:tcBorders>
            <w:shd w:val="clear" w:color="auto" w:fill="auto"/>
            <w:vAlign w:val="center"/>
          </w:tcPr>
          <w:p w14:paraId="7F711C07">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8"/>
                <w:lang w:val="en-US" w:eastAsia="zh-CN" w:bidi="ar"/>
              </w:rPr>
              <w:t>顶岗实习</w:t>
            </w:r>
          </w:p>
        </w:tc>
        <w:tc>
          <w:tcPr>
            <w:tcW w:w="0" w:type="auto"/>
            <w:tcBorders>
              <w:top w:val="nil"/>
              <w:left w:val="nil"/>
              <w:bottom w:val="single" w:color="000000" w:sz="8" w:space="0"/>
              <w:right w:val="single" w:color="000000" w:sz="8" w:space="0"/>
            </w:tcBorders>
            <w:shd w:val="clear" w:color="auto" w:fill="auto"/>
            <w:vAlign w:val="center"/>
          </w:tcPr>
          <w:p w14:paraId="76A87E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nil"/>
              <w:left w:val="nil"/>
              <w:bottom w:val="single" w:color="000000" w:sz="8" w:space="0"/>
              <w:right w:val="single" w:color="000000" w:sz="8" w:space="0"/>
            </w:tcBorders>
            <w:shd w:val="clear" w:color="auto" w:fill="auto"/>
            <w:vAlign w:val="center"/>
          </w:tcPr>
          <w:p w14:paraId="0ED942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0" w:type="auto"/>
            <w:tcBorders>
              <w:top w:val="nil"/>
              <w:left w:val="nil"/>
              <w:bottom w:val="single" w:color="000000" w:sz="8" w:space="0"/>
              <w:right w:val="single" w:color="000000" w:sz="8" w:space="0"/>
            </w:tcBorders>
            <w:shd w:val="clear" w:color="auto" w:fill="auto"/>
            <w:vAlign w:val="center"/>
          </w:tcPr>
          <w:p w14:paraId="14350E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0" w:type="auto"/>
            <w:tcBorders>
              <w:top w:val="nil"/>
              <w:left w:val="nil"/>
              <w:bottom w:val="single" w:color="000000" w:sz="8" w:space="0"/>
              <w:right w:val="single" w:color="000000" w:sz="8" w:space="0"/>
            </w:tcBorders>
            <w:shd w:val="clear" w:color="auto" w:fill="auto"/>
            <w:vAlign w:val="center"/>
          </w:tcPr>
          <w:p w14:paraId="7B89B3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nil"/>
              <w:left w:val="nil"/>
              <w:bottom w:val="single" w:color="000000" w:sz="8" w:space="0"/>
              <w:right w:val="single" w:color="000000" w:sz="8" w:space="0"/>
            </w:tcBorders>
            <w:shd w:val="clear" w:color="auto" w:fill="auto"/>
            <w:vAlign w:val="center"/>
          </w:tcPr>
          <w:p w14:paraId="45501481">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1F5C1332">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7CE029D4">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3F3EF2E3">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3364D8CA">
            <w:pPr>
              <w:jc w:val="center"/>
              <w:rPr>
                <w:rFonts w:hint="default" w:ascii="Arial" w:hAnsi="Arial" w:eastAsia="宋体" w:cs="Arial"/>
                <w:i w:val="0"/>
                <w:iCs w:val="0"/>
                <w:color w:val="000000"/>
                <w:sz w:val="21"/>
                <w:szCs w:val="21"/>
                <w:u w:val="none"/>
              </w:rPr>
            </w:pPr>
          </w:p>
        </w:tc>
        <w:tc>
          <w:tcPr>
            <w:tcW w:w="487" w:type="dxa"/>
            <w:tcBorders>
              <w:top w:val="nil"/>
              <w:left w:val="nil"/>
              <w:bottom w:val="single" w:color="000000" w:sz="8" w:space="0"/>
              <w:right w:val="single" w:color="000000" w:sz="8" w:space="0"/>
            </w:tcBorders>
            <w:shd w:val="clear" w:color="auto" w:fill="auto"/>
            <w:vAlign w:val="center"/>
          </w:tcPr>
          <w:p w14:paraId="25F23C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510" w:type="dxa"/>
            <w:tcBorders>
              <w:top w:val="nil"/>
              <w:left w:val="nil"/>
              <w:bottom w:val="single" w:color="000000" w:sz="8" w:space="0"/>
              <w:right w:val="single" w:color="000000" w:sz="8" w:space="0"/>
            </w:tcBorders>
            <w:shd w:val="clear" w:color="auto" w:fill="auto"/>
            <w:vAlign w:val="center"/>
          </w:tcPr>
          <w:p w14:paraId="411E83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0DFEA287">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0828D527">
            <w:pPr>
              <w:jc w:val="center"/>
              <w:rPr>
                <w:rFonts w:hint="default" w:ascii="Arial" w:hAnsi="Arial" w:eastAsia="宋体" w:cs="Arial"/>
                <w:i w:val="0"/>
                <w:iCs w:val="0"/>
                <w:color w:val="000000"/>
                <w:sz w:val="21"/>
                <w:szCs w:val="21"/>
                <w:u w:val="none"/>
              </w:rPr>
            </w:pPr>
          </w:p>
        </w:tc>
      </w:tr>
      <w:tr w14:paraId="759EA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14:paraId="74FAD414">
            <w:pPr>
              <w:jc w:val="center"/>
              <w:rPr>
                <w:rFonts w:hint="eastAsia" w:ascii="宋体" w:hAnsi="宋体" w:eastAsia="宋体" w:cs="宋体"/>
                <w:i w:val="0"/>
                <w:iCs w:val="0"/>
                <w:color w:val="000000"/>
                <w:sz w:val="18"/>
                <w:szCs w:val="18"/>
                <w:u w:val="none"/>
              </w:rPr>
            </w:pPr>
          </w:p>
        </w:tc>
        <w:tc>
          <w:tcPr>
            <w:tcW w:w="0" w:type="auto"/>
            <w:tcBorders>
              <w:top w:val="nil"/>
              <w:left w:val="nil"/>
              <w:bottom w:val="single" w:color="000000" w:sz="8" w:space="0"/>
              <w:right w:val="single" w:color="000000" w:sz="8" w:space="0"/>
            </w:tcBorders>
            <w:shd w:val="clear" w:color="auto" w:fill="auto"/>
            <w:vAlign w:val="center"/>
          </w:tcPr>
          <w:p w14:paraId="4B0429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0" w:type="auto"/>
            <w:tcBorders>
              <w:top w:val="nil"/>
              <w:left w:val="nil"/>
              <w:bottom w:val="single" w:color="000000" w:sz="8" w:space="0"/>
              <w:right w:val="single" w:color="000000" w:sz="8" w:space="0"/>
            </w:tcBorders>
            <w:shd w:val="clear" w:color="auto" w:fill="auto"/>
            <w:vAlign w:val="center"/>
          </w:tcPr>
          <w:p w14:paraId="0A382D1F">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8"/>
                <w:lang w:val="en-US" w:eastAsia="zh-CN" w:bidi="ar"/>
              </w:rPr>
              <w:t>毕业综合实践</w:t>
            </w:r>
          </w:p>
        </w:tc>
        <w:tc>
          <w:tcPr>
            <w:tcW w:w="0" w:type="auto"/>
            <w:tcBorders>
              <w:top w:val="nil"/>
              <w:left w:val="nil"/>
              <w:bottom w:val="single" w:color="000000" w:sz="8" w:space="0"/>
              <w:right w:val="single" w:color="000000" w:sz="8" w:space="0"/>
            </w:tcBorders>
            <w:shd w:val="clear" w:color="auto" w:fill="auto"/>
            <w:vAlign w:val="center"/>
          </w:tcPr>
          <w:p w14:paraId="2D3BCD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3578F3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0" w:type="auto"/>
            <w:tcBorders>
              <w:top w:val="nil"/>
              <w:left w:val="nil"/>
              <w:bottom w:val="single" w:color="000000" w:sz="8" w:space="0"/>
              <w:right w:val="single" w:color="000000" w:sz="8" w:space="0"/>
            </w:tcBorders>
            <w:shd w:val="clear" w:color="auto" w:fill="auto"/>
            <w:vAlign w:val="center"/>
          </w:tcPr>
          <w:p w14:paraId="349AFB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0" w:type="auto"/>
            <w:tcBorders>
              <w:top w:val="nil"/>
              <w:left w:val="nil"/>
              <w:bottom w:val="single" w:color="000000" w:sz="8" w:space="0"/>
              <w:right w:val="single" w:color="000000" w:sz="8" w:space="0"/>
            </w:tcBorders>
            <w:shd w:val="clear" w:color="auto" w:fill="auto"/>
            <w:vAlign w:val="center"/>
          </w:tcPr>
          <w:p w14:paraId="407270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nil"/>
              <w:left w:val="nil"/>
              <w:bottom w:val="single" w:color="000000" w:sz="8" w:space="0"/>
              <w:right w:val="single" w:color="000000" w:sz="8" w:space="0"/>
            </w:tcBorders>
            <w:shd w:val="clear" w:color="auto" w:fill="auto"/>
            <w:vAlign w:val="center"/>
          </w:tcPr>
          <w:p w14:paraId="2BFB7D53">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2F3A84B5">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32AE9A5D">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6C31EA32">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69794E6D">
            <w:pPr>
              <w:jc w:val="center"/>
              <w:rPr>
                <w:rFonts w:hint="default" w:ascii="Arial" w:hAnsi="Arial" w:eastAsia="宋体" w:cs="Arial"/>
                <w:i w:val="0"/>
                <w:iCs w:val="0"/>
                <w:color w:val="000000"/>
                <w:sz w:val="21"/>
                <w:szCs w:val="21"/>
                <w:u w:val="none"/>
              </w:rPr>
            </w:pPr>
          </w:p>
        </w:tc>
        <w:tc>
          <w:tcPr>
            <w:tcW w:w="487" w:type="dxa"/>
            <w:tcBorders>
              <w:top w:val="nil"/>
              <w:left w:val="nil"/>
              <w:bottom w:val="single" w:color="000000" w:sz="8" w:space="0"/>
              <w:right w:val="single" w:color="000000" w:sz="8" w:space="0"/>
            </w:tcBorders>
            <w:shd w:val="clear" w:color="auto" w:fill="auto"/>
            <w:vAlign w:val="center"/>
          </w:tcPr>
          <w:p w14:paraId="345AAA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510" w:type="dxa"/>
            <w:tcBorders>
              <w:top w:val="nil"/>
              <w:left w:val="nil"/>
              <w:bottom w:val="single" w:color="000000" w:sz="8" w:space="0"/>
              <w:right w:val="single" w:color="000000" w:sz="8" w:space="0"/>
            </w:tcBorders>
            <w:shd w:val="clear" w:color="auto" w:fill="auto"/>
            <w:vAlign w:val="center"/>
          </w:tcPr>
          <w:p w14:paraId="027198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19E5FB74">
            <w:pPr>
              <w:jc w:val="center"/>
              <w:rPr>
                <w:rFonts w:hint="default" w:ascii="Arial" w:hAnsi="Arial" w:eastAsia="宋体" w:cs="Arial"/>
                <w:i w:val="0"/>
                <w:iCs w:val="0"/>
                <w:color w:val="000000"/>
                <w:sz w:val="21"/>
                <w:szCs w:val="21"/>
                <w:u w:val="none"/>
              </w:rPr>
            </w:pPr>
          </w:p>
        </w:tc>
        <w:tc>
          <w:tcPr>
            <w:tcW w:w="0" w:type="auto"/>
            <w:tcBorders>
              <w:top w:val="nil"/>
              <w:left w:val="nil"/>
              <w:bottom w:val="single" w:color="000000" w:sz="8" w:space="0"/>
              <w:right w:val="single" w:color="000000" w:sz="8" w:space="0"/>
            </w:tcBorders>
            <w:shd w:val="clear" w:color="auto" w:fill="auto"/>
            <w:vAlign w:val="center"/>
          </w:tcPr>
          <w:p w14:paraId="0C6FD0C7">
            <w:pPr>
              <w:jc w:val="center"/>
              <w:rPr>
                <w:rFonts w:hint="default" w:ascii="Arial" w:hAnsi="Arial" w:eastAsia="宋体" w:cs="Arial"/>
                <w:i w:val="0"/>
                <w:iCs w:val="0"/>
                <w:color w:val="000000"/>
                <w:sz w:val="21"/>
                <w:szCs w:val="21"/>
                <w:u w:val="none"/>
              </w:rPr>
            </w:pPr>
          </w:p>
        </w:tc>
      </w:tr>
      <w:tr w14:paraId="2B9FB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nil"/>
              <w:left w:val="single" w:color="000000" w:sz="8" w:space="0"/>
              <w:bottom w:val="single" w:color="000000" w:sz="8" w:space="0"/>
              <w:right w:val="single" w:color="000000" w:sz="8" w:space="0"/>
            </w:tcBorders>
            <w:shd w:val="clear" w:color="auto" w:fill="auto"/>
            <w:vAlign w:val="center"/>
          </w:tcPr>
          <w:p w14:paraId="5EEC80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合  计</w:t>
            </w:r>
          </w:p>
        </w:tc>
        <w:tc>
          <w:tcPr>
            <w:tcW w:w="0" w:type="auto"/>
            <w:tcBorders>
              <w:top w:val="nil"/>
              <w:left w:val="nil"/>
              <w:bottom w:val="single" w:color="000000" w:sz="8" w:space="0"/>
              <w:right w:val="single" w:color="000000" w:sz="8" w:space="0"/>
            </w:tcBorders>
            <w:shd w:val="clear" w:color="auto" w:fill="auto"/>
            <w:vAlign w:val="center"/>
          </w:tcPr>
          <w:p w14:paraId="7BE501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0" w:type="auto"/>
            <w:tcBorders>
              <w:top w:val="nil"/>
              <w:left w:val="nil"/>
              <w:bottom w:val="single" w:color="000000" w:sz="8" w:space="0"/>
              <w:right w:val="single" w:color="000000" w:sz="8" w:space="0"/>
            </w:tcBorders>
            <w:shd w:val="clear" w:color="auto" w:fill="auto"/>
            <w:vAlign w:val="center"/>
          </w:tcPr>
          <w:p w14:paraId="65354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1616</w:t>
            </w:r>
          </w:p>
        </w:tc>
        <w:tc>
          <w:tcPr>
            <w:tcW w:w="0" w:type="auto"/>
            <w:tcBorders>
              <w:top w:val="nil"/>
              <w:left w:val="nil"/>
              <w:bottom w:val="single" w:color="000000" w:sz="8" w:space="0"/>
              <w:right w:val="single" w:color="000000" w:sz="8" w:space="0"/>
            </w:tcBorders>
            <w:shd w:val="clear" w:color="auto" w:fill="auto"/>
            <w:vAlign w:val="center"/>
          </w:tcPr>
          <w:p w14:paraId="75C22E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946</w:t>
            </w:r>
          </w:p>
        </w:tc>
        <w:tc>
          <w:tcPr>
            <w:tcW w:w="0" w:type="auto"/>
            <w:tcBorders>
              <w:top w:val="nil"/>
              <w:left w:val="nil"/>
              <w:bottom w:val="single" w:color="000000" w:sz="8" w:space="0"/>
              <w:right w:val="single" w:color="000000" w:sz="8" w:space="0"/>
            </w:tcBorders>
            <w:shd w:val="clear" w:color="auto" w:fill="auto"/>
            <w:vAlign w:val="center"/>
          </w:tcPr>
          <w:p w14:paraId="26709B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390</w:t>
            </w:r>
          </w:p>
        </w:tc>
        <w:tc>
          <w:tcPr>
            <w:tcW w:w="0" w:type="auto"/>
            <w:tcBorders>
              <w:top w:val="nil"/>
              <w:left w:val="nil"/>
              <w:bottom w:val="single" w:color="000000" w:sz="8" w:space="0"/>
              <w:right w:val="single" w:color="000000" w:sz="8" w:space="0"/>
            </w:tcBorders>
            <w:shd w:val="clear" w:color="auto" w:fill="auto"/>
            <w:vAlign w:val="center"/>
          </w:tcPr>
          <w:p w14:paraId="647524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w:t>
            </w:r>
          </w:p>
        </w:tc>
        <w:tc>
          <w:tcPr>
            <w:tcW w:w="0" w:type="auto"/>
            <w:tcBorders>
              <w:top w:val="nil"/>
              <w:left w:val="nil"/>
              <w:bottom w:val="single" w:color="000000" w:sz="8" w:space="0"/>
              <w:right w:val="single" w:color="000000" w:sz="8" w:space="0"/>
            </w:tcBorders>
            <w:shd w:val="clear" w:color="auto" w:fill="auto"/>
            <w:vAlign w:val="center"/>
          </w:tcPr>
          <w:p w14:paraId="1CE8CE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352</w:t>
            </w:r>
          </w:p>
        </w:tc>
        <w:tc>
          <w:tcPr>
            <w:tcW w:w="0" w:type="auto"/>
            <w:tcBorders>
              <w:top w:val="nil"/>
              <w:left w:val="nil"/>
              <w:bottom w:val="single" w:color="000000" w:sz="8" w:space="0"/>
              <w:right w:val="single" w:color="000000" w:sz="8" w:space="0"/>
            </w:tcBorders>
            <w:shd w:val="clear" w:color="auto" w:fill="auto"/>
            <w:vAlign w:val="center"/>
          </w:tcPr>
          <w:p w14:paraId="187E19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368</w:t>
            </w:r>
          </w:p>
        </w:tc>
        <w:tc>
          <w:tcPr>
            <w:tcW w:w="0" w:type="auto"/>
            <w:tcBorders>
              <w:top w:val="nil"/>
              <w:left w:val="nil"/>
              <w:bottom w:val="single" w:color="000000" w:sz="8" w:space="0"/>
              <w:right w:val="single" w:color="000000" w:sz="8" w:space="0"/>
            </w:tcBorders>
            <w:shd w:val="clear" w:color="auto" w:fill="auto"/>
            <w:vAlign w:val="center"/>
          </w:tcPr>
          <w:p w14:paraId="631FFB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w:t>
            </w:r>
          </w:p>
        </w:tc>
        <w:tc>
          <w:tcPr>
            <w:tcW w:w="0" w:type="auto"/>
            <w:tcBorders>
              <w:top w:val="nil"/>
              <w:left w:val="nil"/>
              <w:bottom w:val="single" w:color="000000" w:sz="8" w:space="0"/>
              <w:right w:val="single" w:color="000000" w:sz="8" w:space="0"/>
            </w:tcBorders>
            <w:shd w:val="clear" w:color="auto" w:fill="auto"/>
            <w:vAlign w:val="center"/>
          </w:tcPr>
          <w:p w14:paraId="11C013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w:t>
            </w:r>
          </w:p>
        </w:tc>
        <w:tc>
          <w:tcPr>
            <w:tcW w:w="487" w:type="dxa"/>
            <w:tcBorders>
              <w:top w:val="nil"/>
              <w:left w:val="nil"/>
              <w:bottom w:val="single" w:color="000000" w:sz="8" w:space="0"/>
              <w:right w:val="single" w:color="000000" w:sz="8" w:space="0"/>
            </w:tcBorders>
            <w:shd w:val="clear" w:color="auto" w:fill="auto"/>
            <w:vAlign w:val="center"/>
          </w:tcPr>
          <w:p w14:paraId="12B819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256</w:t>
            </w:r>
          </w:p>
        </w:tc>
        <w:tc>
          <w:tcPr>
            <w:tcW w:w="1372" w:type="dxa"/>
            <w:gridSpan w:val="3"/>
            <w:vMerge w:val="restart"/>
            <w:tcBorders>
              <w:top w:val="nil"/>
              <w:left w:val="nil"/>
              <w:bottom w:val="single" w:color="000000" w:sz="8" w:space="0"/>
              <w:right w:val="single" w:color="000000" w:sz="8" w:space="0"/>
            </w:tcBorders>
            <w:shd w:val="clear" w:color="auto" w:fill="auto"/>
            <w:vAlign w:val="center"/>
          </w:tcPr>
          <w:p w14:paraId="7A797B84">
            <w:pPr>
              <w:jc w:val="center"/>
              <w:rPr>
                <w:rFonts w:hint="default" w:ascii="Arial" w:hAnsi="Arial" w:eastAsia="宋体" w:cs="Arial"/>
                <w:i w:val="0"/>
                <w:iCs w:val="0"/>
                <w:color w:val="000000"/>
                <w:sz w:val="21"/>
                <w:szCs w:val="21"/>
                <w:u w:val="none"/>
              </w:rPr>
            </w:pPr>
          </w:p>
        </w:tc>
      </w:tr>
      <w:tr w14:paraId="2AA6A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5"/>
            <w:tcBorders>
              <w:top w:val="nil"/>
              <w:left w:val="single" w:color="000000" w:sz="8" w:space="0"/>
              <w:bottom w:val="single" w:color="000000" w:sz="8" w:space="0"/>
              <w:right w:val="single" w:color="000000" w:sz="8" w:space="0"/>
            </w:tcBorders>
            <w:shd w:val="clear" w:color="auto" w:fill="auto"/>
            <w:vAlign w:val="center"/>
          </w:tcPr>
          <w:p w14:paraId="64C1E8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百分比(</w:t>
            </w:r>
            <w:r>
              <w:rPr>
                <w:rStyle w:val="19"/>
                <w:rFonts w:eastAsia="宋体"/>
                <w:lang w:val="en-US" w:eastAsia="zh-CN" w:bidi="ar"/>
              </w:rPr>
              <w:t>%</w:t>
            </w:r>
            <w:r>
              <w:rPr>
                <w:rStyle w:val="14"/>
                <w:lang w:val="en-US" w:eastAsia="zh-CN" w:bidi="ar"/>
              </w:rPr>
              <w:t>)</w:t>
            </w:r>
          </w:p>
        </w:tc>
        <w:tc>
          <w:tcPr>
            <w:tcW w:w="0" w:type="auto"/>
            <w:tcBorders>
              <w:top w:val="nil"/>
              <w:left w:val="nil"/>
              <w:bottom w:val="single" w:color="000000" w:sz="8" w:space="0"/>
              <w:right w:val="single" w:color="000000" w:sz="8" w:space="0"/>
            </w:tcBorders>
            <w:shd w:val="clear" w:color="auto" w:fill="auto"/>
            <w:vAlign w:val="center"/>
          </w:tcPr>
          <w:p w14:paraId="677EBA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0" w:type="auto"/>
            <w:tcBorders>
              <w:top w:val="nil"/>
              <w:left w:val="nil"/>
              <w:bottom w:val="single" w:color="000000" w:sz="8" w:space="0"/>
              <w:right w:val="single" w:color="000000" w:sz="8" w:space="0"/>
            </w:tcBorders>
            <w:shd w:val="clear" w:color="auto" w:fill="auto"/>
            <w:vAlign w:val="center"/>
          </w:tcPr>
          <w:p w14:paraId="28F45F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nil"/>
              <w:left w:val="nil"/>
              <w:bottom w:val="single" w:color="000000" w:sz="8" w:space="0"/>
              <w:right w:val="single" w:color="000000" w:sz="8" w:space="0"/>
            </w:tcBorders>
            <w:shd w:val="clear" w:color="auto" w:fill="auto"/>
            <w:vAlign w:val="center"/>
          </w:tcPr>
          <w:p w14:paraId="697063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0" w:type="auto"/>
            <w:tcBorders>
              <w:top w:val="nil"/>
              <w:left w:val="nil"/>
              <w:bottom w:val="single" w:color="000000" w:sz="8" w:space="0"/>
              <w:right w:val="single" w:color="000000" w:sz="8" w:space="0"/>
            </w:tcBorders>
            <w:shd w:val="clear" w:color="auto" w:fill="auto"/>
            <w:vAlign w:val="center"/>
          </w:tcPr>
          <w:p w14:paraId="25FEF8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0" w:type="auto"/>
            <w:tcBorders>
              <w:top w:val="nil"/>
              <w:left w:val="nil"/>
              <w:bottom w:val="single" w:color="000000" w:sz="8" w:space="0"/>
              <w:right w:val="single" w:color="000000" w:sz="8" w:space="0"/>
            </w:tcBorders>
            <w:shd w:val="clear" w:color="auto" w:fill="auto"/>
            <w:vAlign w:val="center"/>
          </w:tcPr>
          <w:p w14:paraId="0E0D77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0" w:type="auto"/>
            <w:tcBorders>
              <w:top w:val="nil"/>
              <w:left w:val="nil"/>
              <w:bottom w:val="single" w:color="000000" w:sz="8" w:space="0"/>
              <w:right w:val="single" w:color="000000" w:sz="8" w:space="0"/>
            </w:tcBorders>
            <w:shd w:val="clear" w:color="auto" w:fill="auto"/>
            <w:vAlign w:val="center"/>
          </w:tcPr>
          <w:p w14:paraId="71EFD3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0" w:type="auto"/>
            <w:tcBorders>
              <w:top w:val="nil"/>
              <w:left w:val="nil"/>
              <w:bottom w:val="single" w:color="000000" w:sz="8" w:space="0"/>
              <w:right w:val="single" w:color="000000" w:sz="8" w:space="0"/>
            </w:tcBorders>
            <w:shd w:val="clear" w:color="auto" w:fill="auto"/>
            <w:vAlign w:val="center"/>
          </w:tcPr>
          <w:p w14:paraId="236F8E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487" w:type="dxa"/>
            <w:tcBorders>
              <w:top w:val="nil"/>
              <w:left w:val="nil"/>
              <w:bottom w:val="single" w:color="000000" w:sz="8" w:space="0"/>
              <w:right w:val="single" w:color="000000" w:sz="8" w:space="0"/>
            </w:tcBorders>
            <w:shd w:val="clear" w:color="auto" w:fill="auto"/>
            <w:vAlign w:val="center"/>
          </w:tcPr>
          <w:p w14:paraId="0CF80A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372" w:type="dxa"/>
            <w:gridSpan w:val="3"/>
            <w:vMerge w:val="continue"/>
            <w:tcBorders>
              <w:top w:val="nil"/>
              <w:left w:val="nil"/>
              <w:bottom w:val="single" w:color="000000" w:sz="8" w:space="0"/>
              <w:right w:val="single" w:color="000000" w:sz="8" w:space="0"/>
            </w:tcBorders>
            <w:shd w:val="clear" w:color="auto" w:fill="auto"/>
            <w:vAlign w:val="center"/>
          </w:tcPr>
          <w:p w14:paraId="50E676E2">
            <w:pPr>
              <w:jc w:val="center"/>
              <w:rPr>
                <w:rFonts w:hint="default" w:ascii="Arial" w:hAnsi="Arial" w:eastAsia="宋体" w:cs="Arial"/>
                <w:i w:val="0"/>
                <w:iCs w:val="0"/>
                <w:color w:val="000000"/>
                <w:sz w:val="21"/>
                <w:szCs w:val="21"/>
                <w:u w:val="none"/>
              </w:rPr>
            </w:pPr>
          </w:p>
        </w:tc>
      </w:tr>
    </w:tbl>
    <w:p w14:paraId="24F3A7C2">
      <w:pPr>
        <w:spacing w:line="264" w:lineRule="auto"/>
        <w:jc w:val="left"/>
        <w:rPr>
          <w:rFonts w:hint="eastAsia" w:ascii="楷体" w:hAnsi="楷体" w:eastAsia="楷体" w:cs="楷体"/>
          <w:sz w:val="24"/>
          <w:szCs w:val="24"/>
        </w:rPr>
      </w:pPr>
      <w:r>
        <w:rPr>
          <w:rFonts w:hint="eastAsia" w:ascii="楷体" w:hAnsi="楷体" w:eastAsia="楷体" w:cs="楷体"/>
          <w:sz w:val="24"/>
          <w:szCs w:val="24"/>
          <w:lang w:eastAsia="zh-CN"/>
        </w:rPr>
        <w:t>注：</w:t>
      </w:r>
      <w:r>
        <w:rPr>
          <w:rFonts w:hint="eastAsia" w:ascii="楷体" w:hAnsi="楷体" w:eastAsia="楷体" w:cs="楷体"/>
          <w:sz w:val="24"/>
          <w:szCs w:val="24"/>
        </w:rPr>
        <w:t>职业拓展课按需要可以增加课程</w:t>
      </w:r>
    </w:p>
    <w:p w14:paraId="79E8E9FE">
      <w:pPr>
        <w:spacing w:before="240"/>
        <w:outlineLvl w:val="0"/>
        <w:rPr>
          <w:rFonts w:hint="eastAsia" w:ascii="黑体" w:hAnsi="黑体" w:eastAsia="黑体"/>
          <w:color w:val="000000"/>
          <w:sz w:val="28"/>
          <w:szCs w:val="28"/>
          <w:lang w:val="en-US" w:eastAsia="zh-CN"/>
        </w:rPr>
      </w:pPr>
      <w:r>
        <w:rPr>
          <w:rFonts w:hint="eastAsia" w:ascii="黑体" w:hAnsi="黑体" w:eastAsia="黑体"/>
          <w:color w:val="000000"/>
          <w:sz w:val="28"/>
          <w:szCs w:val="28"/>
        </w:rPr>
        <w:t>七、</w:t>
      </w:r>
      <w:r>
        <w:rPr>
          <w:rFonts w:hint="eastAsia" w:ascii="黑体" w:hAnsi="黑体" w:eastAsia="黑体"/>
          <w:color w:val="000000"/>
          <w:sz w:val="28"/>
          <w:szCs w:val="28"/>
          <w:lang w:eastAsia="zh-CN"/>
        </w:rPr>
        <w:t>教学实施保障</w:t>
      </w:r>
    </w:p>
    <w:p w14:paraId="2B66DD09">
      <w:pPr>
        <w:spacing w:before="240"/>
        <w:outlineLvl w:val="1"/>
        <w:rPr>
          <w:rFonts w:hint="eastAsia" w:ascii="楷体" w:hAnsi="楷体" w:eastAsia="楷体"/>
          <w:color w:val="000000"/>
          <w:sz w:val="28"/>
          <w:szCs w:val="28"/>
          <w:u w:val="none"/>
        </w:rPr>
      </w:pPr>
      <w:r>
        <w:rPr>
          <w:rFonts w:hint="eastAsia" w:ascii="楷体" w:hAnsi="楷体" w:eastAsia="楷体"/>
          <w:color w:val="000000"/>
          <w:sz w:val="28"/>
          <w:szCs w:val="28"/>
          <w:u w:val="none"/>
          <w:lang w:eastAsia="zh-CN"/>
        </w:rPr>
        <w:t>（一）</w:t>
      </w:r>
      <w:r>
        <w:rPr>
          <w:rFonts w:hint="eastAsia" w:ascii="楷体" w:hAnsi="楷体" w:eastAsia="楷体"/>
          <w:color w:val="000000"/>
          <w:sz w:val="28"/>
          <w:szCs w:val="28"/>
          <w:u w:val="none"/>
        </w:rPr>
        <w:t>教材使用建议表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977"/>
        <w:gridCol w:w="4728"/>
      </w:tblGrid>
      <w:tr w14:paraId="4363B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696E9F39">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序号</w:t>
            </w:r>
          </w:p>
        </w:tc>
        <w:tc>
          <w:tcPr>
            <w:tcW w:w="2977" w:type="dxa"/>
            <w:vAlign w:val="center"/>
          </w:tcPr>
          <w:p w14:paraId="00EF60BF">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课程名称</w:t>
            </w:r>
          </w:p>
        </w:tc>
        <w:tc>
          <w:tcPr>
            <w:tcW w:w="4728" w:type="dxa"/>
            <w:vAlign w:val="center"/>
          </w:tcPr>
          <w:p w14:paraId="3D88E04E">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推荐教材</w:t>
            </w:r>
          </w:p>
        </w:tc>
      </w:tr>
      <w:tr w14:paraId="16A75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356DE1CE">
            <w:pPr>
              <w:spacing w:line="240" w:lineRule="auto"/>
              <w:jc w:val="center"/>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1</w:t>
            </w:r>
          </w:p>
        </w:tc>
        <w:tc>
          <w:tcPr>
            <w:tcW w:w="2977" w:type="dxa"/>
            <w:vAlign w:val="center"/>
          </w:tcPr>
          <w:p w14:paraId="4DA3E57F">
            <w:pPr>
              <w:spacing w:line="240" w:lineRule="auto"/>
              <w:jc w:val="center"/>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财务会计实务</w:t>
            </w:r>
          </w:p>
        </w:tc>
        <w:tc>
          <w:tcPr>
            <w:tcW w:w="4728" w:type="dxa"/>
            <w:vAlign w:val="center"/>
          </w:tcPr>
          <w:p w14:paraId="2BB66E22">
            <w:pPr>
              <w:spacing w:line="240" w:lineRule="auto"/>
              <w:jc w:val="left"/>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rPr>
              <w:t>戴德明、林钢、赵西卜，《财务会计学（第13版·立体化数字教材版）》，</w:t>
            </w:r>
            <w:r>
              <w:rPr>
                <w:rFonts w:hint="eastAsia" w:ascii="楷体" w:hAnsi="楷体" w:eastAsia="楷体" w:cs="楷体"/>
                <w:color w:val="auto"/>
                <w:sz w:val="24"/>
                <w:szCs w:val="24"/>
                <w:highlight w:val="none"/>
                <w:lang w:val="en-US" w:eastAsia="zh-CN"/>
              </w:rPr>
              <w:t>中国人民大学出版社，2021年7月</w:t>
            </w:r>
          </w:p>
        </w:tc>
      </w:tr>
      <w:tr w14:paraId="69CB5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6AF1E089">
            <w:pPr>
              <w:spacing w:line="240" w:lineRule="auto"/>
              <w:jc w:val="center"/>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2</w:t>
            </w:r>
          </w:p>
        </w:tc>
        <w:tc>
          <w:tcPr>
            <w:tcW w:w="2977" w:type="dxa"/>
            <w:vAlign w:val="center"/>
          </w:tcPr>
          <w:p w14:paraId="6E186FBF">
            <w:pPr>
              <w:spacing w:line="240" w:lineRule="auto"/>
              <w:jc w:val="center"/>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企业财务会计</w:t>
            </w:r>
          </w:p>
        </w:tc>
        <w:tc>
          <w:tcPr>
            <w:tcW w:w="4728" w:type="dxa"/>
            <w:vAlign w:val="center"/>
          </w:tcPr>
          <w:p w14:paraId="067C346F">
            <w:pPr>
              <w:spacing w:line="240" w:lineRule="auto"/>
              <w:jc w:val="left"/>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戴德明、林钢、赵西卜，《财务会计学（第13版·立体化数字教材版）》，</w:t>
            </w:r>
            <w:r>
              <w:rPr>
                <w:rFonts w:hint="eastAsia" w:ascii="楷体" w:hAnsi="楷体" w:eastAsia="楷体" w:cs="楷体"/>
                <w:color w:val="auto"/>
                <w:sz w:val="24"/>
                <w:szCs w:val="24"/>
                <w:highlight w:val="none"/>
                <w:lang w:val="en-US" w:eastAsia="zh-CN"/>
              </w:rPr>
              <w:t>中国人民大学出版社，2021年7月</w:t>
            </w:r>
          </w:p>
        </w:tc>
      </w:tr>
      <w:tr w14:paraId="02F51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020C109A">
            <w:pPr>
              <w:spacing w:line="240" w:lineRule="auto"/>
              <w:jc w:val="center"/>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3</w:t>
            </w:r>
          </w:p>
        </w:tc>
        <w:tc>
          <w:tcPr>
            <w:tcW w:w="2977" w:type="dxa"/>
            <w:vAlign w:val="center"/>
          </w:tcPr>
          <w:p w14:paraId="3B8CBA95">
            <w:pPr>
              <w:spacing w:line="240" w:lineRule="auto"/>
              <w:jc w:val="center"/>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管理会计实务</w:t>
            </w:r>
          </w:p>
        </w:tc>
        <w:tc>
          <w:tcPr>
            <w:tcW w:w="4728" w:type="dxa"/>
            <w:vAlign w:val="center"/>
          </w:tcPr>
          <w:p w14:paraId="16F3F5D9">
            <w:pPr>
              <w:spacing w:line="240" w:lineRule="auto"/>
              <w:jc w:val="left"/>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rPr>
              <w:t>刘金星，《管理会计实务》，</w:t>
            </w:r>
            <w:r>
              <w:rPr>
                <w:rFonts w:hint="eastAsia" w:ascii="楷体" w:hAnsi="楷体" w:eastAsia="楷体" w:cs="楷体"/>
                <w:color w:val="auto"/>
                <w:sz w:val="24"/>
                <w:szCs w:val="24"/>
                <w:highlight w:val="none"/>
                <w:lang w:val="en-US" w:eastAsia="zh-CN"/>
              </w:rPr>
              <w:t>高等教育</w:t>
            </w:r>
            <w:r>
              <w:rPr>
                <w:rFonts w:hint="eastAsia" w:ascii="楷体" w:hAnsi="楷体" w:eastAsia="楷体" w:cs="楷体"/>
                <w:color w:val="auto"/>
                <w:sz w:val="24"/>
                <w:szCs w:val="24"/>
                <w:highlight w:val="none"/>
              </w:rPr>
              <w:t>出版社</w:t>
            </w:r>
            <w:r>
              <w:rPr>
                <w:rFonts w:hint="eastAsia" w:ascii="楷体" w:hAnsi="楷体" w:eastAsia="楷体" w:cs="楷体"/>
                <w:i w:val="0"/>
                <w:iCs w:val="0"/>
                <w:caps w:val="0"/>
                <w:color w:val="auto"/>
                <w:spacing w:val="0"/>
                <w:sz w:val="24"/>
                <w:szCs w:val="24"/>
                <w:highlight w:val="none"/>
                <w:shd w:val="clear"/>
                <w:lang w:val="en-US" w:eastAsia="zh-CN"/>
              </w:rPr>
              <w:t>2019年1月</w:t>
            </w:r>
          </w:p>
        </w:tc>
      </w:tr>
      <w:tr w14:paraId="5EBBF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46AACF04">
            <w:pPr>
              <w:spacing w:line="240" w:lineRule="auto"/>
              <w:jc w:val="center"/>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4</w:t>
            </w:r>
          </w:p>
        </w:tc>
        <w:tc>
          <w:tcPr>
            <w:tcW w:w="2977" w:type="dxa"/>
            <w:vAlign w:val="center"/>
          </w:tcPr>
          <w:p w14:paraId="0069224C">
            <w:pPr>
              <w:spacing w:line="240" w:lineRule="auto"/>
              <w:jc w:val="center"/>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会计信息系统应用</w:t>
            </w:r>
          </w:p>
        </w:tc>
        <w:tc>
          <w:tcPr>
            <w:tcW w:w="4728" w:type="dxa"/>
            <w:vAlign w:val="center"/>
          </w:tcPr>
          <w:p w14:paraId="336DA6D2">
            <w:pPr>
              <w:spacing w:line="240" w:lineRule="auto"/>
              <w:jc w:val="left"/>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庄胡蝶，《会计信息化（第三版）（用友U8 V10.1版）》，</w:t>
            </w:r>
            <w:r>
              <w:rPr>
                <w:rFonts w:hint="eastAsia" w:ascii="楷体" w:hAnsi="楷体" w:eastAsia="楷体" w:cs="楷体"/>
                <w:color w:val="auto"/>
                <w:sz w:val="24"/>
                <w:szCs w:val="24"/>
                <w:highlight w:val="none"/>
                <w:lang w:val="en-US" w:eastAsia="zh-CN"/>
              </w:rPr>
              <w:t>高等教育</w:t>
            </w:r>
            <w:r>
              <w:rPr>
                <w:rFonts w:hint="eastAsia" w:ascii="楷体" w:hAnsi="楷体" w:eastAsia="楷体" w:cs="楷体"/>
                <w:color w:val="auto"/>
                <w:sz w:val="24"/>
                <w:szCs w:val="24"/>
                <w:highlight w:val="none"/>
              </w:rPr>
              <w:t>出版社</w:t>
            </w:r>
            <w:r>
              <w:rPr>
                <w:rFonts w:hint="eastAsia" w:ascii="楷体" w:hAnsi="楷体" w:eastAsia="楷体" w:cs="楷体"/>
                <w:i w:val="0"/>
                <w:iCs w:val="0"/>
                <w:caps w:val="0"/>
                <w:color w:val="auto"/>
                <w:spacing w:val="0"/>
                <w:sz w:val="24"/>
                <w:szCs w:val="24"/>
                <w:highlight w:val="none"/>
                <w:shd w:val="clear"/>
                <w:lang w:val="en-US" w:eastAsia="zh-CN"/>
              </w:rPr>
              <w:t>2021年4月</w:t>
            </w:r>
          </w:p>
        </w:tc>
      </w:tr>
      <w:tr w14:paraId="0A950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340A56D4">
            <w:pPr>
              <w:spacing w:line="240" w:lineRule="auto"/>
              <w:jc w:val="center"/>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5</w:t>
            </w:r>
          </w:p>
        </w:tc>
        <w:tc>
          <w:tcPr>
            <w:tcW w:w="2977" w:type="dxa"/>
            <w:vAlign w:val="center"/>
          </w:tcPr>
          <w:p w14:paraId="034956CE">
            <w:pPr>
              <w:spacing w:line="240" w:lineRule="auto"/>
              <w:jc w:val="center"/>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企业法律实务</w:t>
            </w:r>
          </w:p>
        </w:tc>
        <w:tc>
          <w:tcPr>
            <w:tcW w:w="4728" w:type="dxa"/>
            <w:vAlign w:val="center"/>
          </w:tcPr>
          <w:p w14:paraId="485EE7FF">
            <w:pPr>
              <w:spacing w:line="240" w:lineRule="auto"/>
              <w:jc w:val="left"/>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王赛芝，《企业法律基础与实务》，电子工业出版社，2021年第三版</w:t>
            </w:r>
          </w:p>
        </w:tc>
      </w:tr>
      <w:tr w14:paraId="044A9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5C591BE8">
            <w:pPr>
              <w:spacing w:line="240" w:lineRule="auto"/>
              <w:jc w:val="center"/>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6</w:t>
            </w:r>
          </w:p>
        </w:tc>
        <w:tc>
          <w:tcPr>
            <w:tcW w:w="2977" w:type="dxa"/>
            <w:vAlign w:val="center"/>
          </w:tcPr>
          <w:p w14:paraId="1F3F3BFF">
            <w:pPr>
              <w:spacing w:line="240" w:lineRule="auto"/>
              <w:jc w:val="center"/>
              <w:rPr>
                <w:rFonts w:hint="eastAsia" w:ascii="楷体" w:hAnsi="楷体" w:eastAsia="楷体" w:cs="楷体"/>
                <w:color w:val="auto"/>
                <w:sz w:val="24"/>
                <w:szCs w:val="24"/>
                <w:highlight w:val="none"/>
              </w:rPr>
            </w:pPr>
            <w:r>
              <w:rPr>
                <w:rFonts w:hint="eastAsia" w:ascii="楷体" w:hAnsi="楷体" w:eastAsia="楷体" w:cs="楷体"/>
                <w:color w:val="auto"/>
                <w:kern w:val="2"/>
                <w:sz w:val="24"/>
                <w:szCs w:val="24"/>
                <w:highlight w:val="none"/>
                <w:lang w:bidi="ar"/>
              </w:rPr>
              <w:t>纳税筹划</w:t>
            </w:r>
          </w:p>
        </w:tc>
        <w:tc>
          <w:tcPr>
            <w:tcW w:w="4728" w:type="dxa"/>
            <w:vAlign w:val="center"/>
          </w:tcPr>
          <w:p w14:paraId="2CE7F7A0">
            <w:pPr>
              <w:spacing w:line="240" w:lineRule="auto"/>
              <w:jc w:val="left"/>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林松池，《税收筹划》，高等教育出版社，2023年8月</w:t>
            </w:r>
          </w:p>
        </w:tc>
      </w:tr>
    </w:tbl>
    <w:p w14:paraId="1E7773FF">
      <w:pPr>
        <w:numPr>
          <w:ilvl w:val="-1"/>
          <w:numId w:val="0"/>
        </w:numPr>
        <w:spacing w:before="240"/>
        <w:outlineLvl w:val="1"/>
        <w:rPr>
          <w:rFonts w:hint="eastAsia" w:ascii="楷体" w:hAnsi="楷体" w:eastAsia="楷体"/>
          <w:color w:val="000000"/>
          <w:sz w:val="28"/>
          <w:szCs w:val="28"/>
          <w:lang w:eastAsia="zh-CN"/>
        </w:rPr>
      </w:pPr>
      <w:r>
        <w:rPr>
          <w:rFonts w:hint="eastAsia" w:ascii="楷体" w:hAnsi="楷体" w:eastAsia="楷体" w:cstheme="minorBidi"/>
          <w:color w:val="000000"/>
          <w:kern w:val="2"/>
          <w:sz w:val="28"/>
          <w:szCs w:val="28"/>
          <w:lang w:val="en-US" w:eastAsia="zh-CN" w:bidi="ar-SA"/>
        </w:rPr>
        <w:t>（二）</w:t>
      </w:r>
      <w:r>
        <w:rPr>
          <w:rFonts w:hint="eastAsia" w:ascii="楷体" w:hAnsi="楷体" w:eastAsia="楷体"/>
          <w:color w:val="000000"/>
          <w:sz w:val="28"/>
          <w:szCs w:val="28"/>
          <w:lang w:eastAsia="zh-CN"/>
        </w:rPr>
        <w:t>教学及实验实训条件</w:t>
      </w:r>
    </w:p>
    <w:p w14:paraId="477CFB50">
      <w:pPr>
        <w:spacing w:before="240"/>
        <w:ind w:firstLine="280" w:firstLineChars="1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1.专业群</w:t>
      </w:r>
      <w:bookmarkStart w:id="0" w:name="_GoBack"/>
      <w:bookmarkEnd w:id="0"/>
      <w:r>
        <w:rPr>
          <w:rFonts w:hint="eastAsia" w:ascii="楷体_GB2312" w:hAnsi="楷体" w:eastAsia="楷体_GB2312"/>
          <w:color w:val="000000"/>
          <w:sz w:val="28"/>
          <w:szCs w:val="28"/>
          <w:lang w:val="en-US" w:eastAsia="zh-CN"/>
        </w:rPr>
        <w:t>共享实习、实训室（基地）情况</w:t>
      </w:r>
    </w:p>
    <w:tbl>
      <w:tblPr>
        <w:tblStyle w:val="20"/>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928"/>
        <w:gridCol w:w="2837"/>
        <w:gridCol w:w="2776"/>
        <w:gridCol w:w="945"/>
        <w:gridCol w:w="917"/>
      </w:tblGrid>
      <w:tr w14:paraId="52A8CC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552" w:type="pct"/>
            <w:vAlign w:val="center"/>
          </w:tcPr>
          <w:p w14:paraId="6E5FFE18">
            <w:pPr>
              <w:spacing w:line="240" w:lineRule="auto"/>
              <w:jc w:val="center"/>
              <w:rPr>
                <w:rFonts w:hint="eastAsia" w:ascii="楷体" w:hAnsi="楷体" w:eastAsia="楷体" w:cs="楷体"/>
                <w:b/>
                <w:bCs/>
                <w:color w:val="auto"/>
                <w:sz w:val="24"/>
                <w:szCs w:val="24"/>
                <w:highlight w:val="none"/>
                <w:lang w:val="en-US" w:eastAsia="zh-CN"/>
              </w:rPr>
            </w:pPr>
            <w:r>
              <w:rPr>
                <w:rFonts w:hint="eastAsia" w:ascii="楷体" w:hAnsi="楷体" w:eastAsia="楷体" w:cs="楷体"/>
                <w:b/>
                <w:bCs/>
                <w:color w:val="auto"/>
                <w:sz w:val="24"/>
                <w:szCs w:val="24"/>
                <w:highlight w:val="none"/>
                <w:lang w:val="en-US" w:eastAsia="zh-CN"/>
              </w:rPr>
              <w:t>序号</w:t>
            </w:r>
          </w:p>
        </w:tc>
        <w:tc>
          <w:tcPr>
            <w:tcW w:w="1687" w:type="pct"/>
            <w:vAlign w:val="center"/>
          </w:tcPr>
          <w:p w14:paraId="14A2FD6A">
            <w:pPr>
              <w:spacing w:line="240" w:lineRule="auto"/>
              <w:jc w:val="center"/>
              <w:rPr>
                <w:rFonts w:hint="eastAsia" w:ascii="楷体" w:hAnsi="楷体" w:eastAsia="楷体" w:cs="楷体"/>
                <w:b/>
                <w:bCs/>
                <w:color w:val="auto"/>
                <w:sz w:val="24"/>
                <w:szCs w:val="24"/>
                <w:highlight w:val="none"/>
                <w:lang w:val="en-US" w:eastAsia="zh-CN"/>
              </w:rPr>
            </w:pPr>
            <w:r>
              <w:rPr>
                <w:rFonts w:hint="eastAsia" w:ascii="楷体" w:hAnsi="楷体" w:eastAsia="楷体" w:cs="楷体"/>
                <w:b/>
                <w:bCs/>
                <w:color w:val="auto"/>
                <w:sz w:val="24"/>
                <w:szCs w:val="24"/>
                <w:highlight w:val="none"/>
                <w:lang w:val="en-US" w:eastAsia="zh-CN"/>
              </w:rPr>
              <w:t>共享实习实训室（基地）名称</w:t>
            </w:r>
          </w:p>
        </w:tc>
        <w:tc>
          <w:tcPr>
            <w:tcW w:w="1651" w:type="pct"/>
            <w:vAlign w:val="center"/>
          </w:tcPr>
          <w:p w14:paraId="4B35CF3B">
            <w:pPr>
              <w:spacing w:line="240" w:lineRule="auto"/>
              <w:jc w:val="center"/>
              <w:rPr>
                <w:rFonts w:hint="eastAsia" w:ascii="楷体" w:hAnsi="楷体" w:eastAsia="楷体" w:cs="楷体"/>
                <w:b/>
                <w:bCs/>
                <w:color w:val="auto"/>
                <w:sz w:val="24"/>
                <w:szCs w:val="24"/>
                <w:highlight w:val="none"/>
                <w:lang w:val="en-US" w:eastAsia="zh-CN"/>
              </w:rPr>
            </w:pPr>
            <w:r>
              <w:rPr>
                <w:rFonts w:hint="eastAsia" w:ascii="楷体" w:hAnsi="楷体" w:eastAsia="楷体" w:cs="楷体"/>
                <w:b/>
                <w:bCs/>
                <w:color w:val="auto"/>
                <w:sz w:val="24"/>
                <w:szCs w:val="24"/>
                <w:highlight w:val="none"/>
                <w:lang w:val="en-US" w:eastAsia="zh-CN"/>
              </w:rPr>
              <w:t>功能</w:t>
            </w:r>
          </w:p>
        </w:tc>
        <w:tc>
          <w:tcPr>
            <w:tcW w:w="562" w:type="pct"/>
            <w:vAlign w:val="center"/>
          </w:tcPr>
          <w:p w14:paraId="114B5198">
            <w:pPr>
              <w:spacing w:line="240" w:lineRule="auto"/>
              <w:jc w:val="center"/>
              <w:rPr>
                <w:rFonts w:hint="eastAsia" w:ascii="楷体" w:hAnsi="楷体" w:eastAsia="楷体" w:cs="楷体"/>
                <w:b/>
                <w:bCs/>
                <w:color w:val="auto"/>
                <w:sz w:val="24"/>
                <w:szCs w:val="24"/>
                <w:highlight w:val="none"/>
                <w:lang w:val="en-US" w:eastAsia="zh-CN"/>
              </w:rPr>
            </w:pPr>
            <w:r>
              <w:rPr>
                <w:rFonts w:hint="eastAsia" w:ascii="楷体" w:hAnsi="楷体" w:eastAsia="楷体" w:cs="楷体"/>
                <w:b/>
                <w:bCs/>
                <w:color w:val="auto"/>
                <w:sz w:val="24"/>
                <w:szCs w:val="24"/>
                <w:highlight w:val="none"/>
                <w:lang w:val="en-US" w:eastAsia="zh-CN"/>
              </w:rPr>
              <w:t>工位数</w:t>
            </w:r>
          </w:p>
        </w:tc>
        <w:tc>
          <w:tcPr>
            <w:tcW w:w="545" w:type="pct"/>
            <w:vAlign w:val="center"/>
          </w:tcPr>
          <w:p w14:paraId="5EFD0784">
            <w:pPr>
              <w:spacing w:line="240" w:lineRule="auto"/>
              <w:jc w:val="center"/>
              <w:rPr>
                <w:rFonts w:hint="eastAsia" w:ascii="楷体" w:hAnsi="楷体" w:eastAsia="楷体" w:cs="楷体"/>
                <w:b/>
                <w:bCs/>
                <w:color w:val="auto"/>
                <w:sz w:val="24"/>
                <w:szCs w:val="24"/>
                <w:highlight w:val="none"/>
                <w:lang w:val="en-US" w:eastAsia="zh-CN"/>
              </w:rPr>
            </w:pPr>
            <w:r>
              <w:rPr>
                <w:rFonts w:hint="eastAsia" w:ascii="楷体" w:hAnsi="楷体" w:eastAsia="楷体" w:cs="楷体"/>
                <w:b/>
                <w:bCs/>
                <w:color w:val="auto"/>
                <w:sz w:val="24"/>
                <w:szCs w:val="24"/>
                <w:highlight w:val="none"/>
                <w:lang w:val="en-US" w:eastAsia="zh-CN"/>
              </w:rPr>
              <w:t>面积m2</w:t>
            </w:r>
          </w:p>
        </w:tc>
      </w:tr>
      <w:tr w14:paraId="332237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552" w:type="pct"/>
            <w:tcBorders>
              <w:bottom w:val="single" w:color="auto" w:sz="4" w:space="0"/>
            </w:tcBorders>
            <w:vAlign w:val="center"/>
          </w:tcPr>
          <w:p w14:paraId="15625CE3">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1</w:t>
            </w:r>
          </w:p>
        </w:tc>
        <w:tc>
          <w:tcPr>
            <w:tcW w:w="1687" w:type="pct"/>
            <w:tcBorders>
              <w:bottom w:val="single" w:color="auto" w:sz="4" w:space="0"/>
            </w:tcBorders>
            <w:vAlign w:val="center"/>
          </w:tcPr>
          <w:p w14:paraId="28574A87">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数字化管理实训室</w:t>
            </w:r>
          </w:p>
        </w:tc>
        <w:tc>
          <w:tcPr>
            <w:tcW w:w="1651" w:type="pct"/>
            <w:vAlign w:val="center"/>
          </w:tcPr>
          <w:p w14:paraId="04A9ECAD">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紧跟数字化管理前沿技术，进行数字化组织、沟通、协同、应用开发和数据管理等相关技能实训。</w:t>
            </w:r>
          </w:p>
        </w:tc>
        <w:tc>
          <w:tcPr>
            <w:tcW w:w="562" w:type="pct"/>
            <w:vAlign w:val="center"/>
          </w:tcPr>
          <w:p w14:paraId="75426C5B">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50</w:t>
            </w:r>
          </w:p>
        </w:tc>
        <w:tc>
          <w:tcPr>
            <w:tcW w:w="545" w:type="pct"/>
            <w:vAlign w:val="center"/>
          </w:tcPr>
          <w:p w14:paraId="4CB3CC32">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437</w:t>
            </w:r>
          </w:p>
        </w:tc>
      </w:tr>
      <w:tr w14:paraId="33E308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552" w:type="pct"/>
            <w:tcBorders>
              <w:top w:val="single" w:color="auto" w:sz="4" w:space="0"/>
              <w:bottom w:val="single" w:color="auto" w:sz="4" w:space="0"/>
            </w:tcBorders>
            <w:vAlign w:val="center"/>
          </w:tcPr>
          <w:p w14:paraId="1F21FA1E">
            <w:pPr>
              <w:spacing w:line="240" w:lineRule="auto"/>
              <w:jc w:val="center"/>
              <w:rPr>
                <w:rFonts w:hint="default"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2</w:t>
            </w:r>
          </w:p>
        </w:tc>
        <w:tc>
          <w:tcPr>
            <w:tcW w:w="1687" w:type="pct"/>
            <w:tcBorders>
              <w:top w:val="single" w:color="auto" w:sz="4" w:space="0"/>
            </w:tcBorders>
            <w:vAlign w:val="center"/>
          </w:tcPr>
          <w:p w14:paraId="15038D9F">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商务数据分析与应用实训室</w:t>
            </w:r>
          </w:p>
        </w:tc>
        <w:tc>
          <w:tcPr>
            <w:tcW w:w="1651" w:type="pct"/>
            <w:vAlign w:val="center"/>
          </w:tcPr>
          <w:p w14:paraId="691EBB41">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各专业商务数据分析技能实训与实战、商务数据分析与应用相关技能竞赛训练及竞赛承办等。</w:t>
            </w:r>
          </w:p>
        </w:tc>
        <w:tc>
          <w:tcPr>
            <w:tcW w:w="562" w:type="pct"/>
            <w:vAlign w:val="center"/>
          </w:tcPr>
          <w:p w14:paraId="25CAC3D1">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55</w:t>
            </w:r>
          </w:p>
        </w:tc>
        <w:tc>
          <w:tcPr>
            <w:tcW w:w="545" w:type="pct"/>
            <w:vAlign w:val="center"/>
          </w:tcPr>
          <w:p w14:paraId="1FC03C13">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162</w:t>
            </w:r>
          </w:p>
        </w:tc>
      </w:tr>
      <w:tr w14:paraId="30C192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552" w:type="pct"/>
            <w:tcBorders>
              <w:top w:val="single" w:color="auto" w:sz="4" w:space="0"/>
              <w:bottom w:val="single" w:color="auto" w:sz="4" w:space="0"/>
            </w:tcBorders>
            <w:vAlign w:val="center"/>
          </w:tcPr>
          <w:p w14:paraId="68803C6E">
            <w:pPr>
              <w:spacing w:line="240" w:lineRule="auto"/>
              <w:jc w:val="center"/>
              <w:rPr>
                <w:rFonts w:hint="default"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3</w:t>
            </w:r>
          </w:p>
        </w:tc>
        <w:tc>
          <w:tcPr>
            <w:tcW w:w="1687" w:type="pct"/>
            <w:vAlign w:val="center"/>
          </w:tcPr>
          <w:p w14:paraId="7CE8C758">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经管类跨专业虚拟仿真实训中心</w:t>
            </w:r>
          </w:p>
        </w:tc>
        <w:tc>
          <w:tcPr>
            <w:tcW w:w="1651" w:type="pct"/>
            <w:vAlign w:val="center"/>
          </w:tcPr>
          <w:p w14:paraId="0BEB56FD">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VBSE实践教学、跨专业综合实训、经管类技能竞赛训练及竞赛承办等。</w:t>
            </w:r>
          </w:p>
        </w:tc>
        <w:tc>
          <w:tcPr>
            <w:tcW w:w="562" w:type="pct"/>
            <w:vAlign w:val="center"/>
          </w:tcPr>
          <w:p w14:paraId="44F5348D">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131</w:t>
            </w:r>
          </w:p>
        </w:tc>
        <w:tc>
          <w:tcPr>
            <w:tcW w:w="545" w:type="pct"/>
            <w:vAlign w:val="center"/>
          </w:tcPr>
          <w:p w14:paraId="5F399C89">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520</w:t>
            </w:r>
          </w:p>
        </w:tc>
      </w:tr>
    </w:tbl>
    <w:p w14:paraId="10A6F964">
      <w:pPr>
        <w:spacing w:before="240"/>
        <w:ind w:firstLine="280" w:firstLineChars="1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2.专业其他实习、实训室（基地）配置情况</w:t>
      </w:r>
    </w:p>
    <w:tbl>
      <w:tblPr>
        <w:tblStyle w:val="20"/>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716"/>
        <w:gridCol w:w="1421"/>
        <w:gridCol w:w="3101"/>
        <w:gridCol w:w="1161"/>
        <w:gridCol w:w="779"/>
        <w:gridCol w:w="671"/>
        <w:gridCol w:w="557"/>
      </w:tblGrid>
      <w:tr w14:paraId="73319A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716" w:type="dxa"/>
            <w:vAlign w:val="center"/>
          </w:tcPr>
          <w:p w14:paraId="215C05E7">
            <w:pPr>
              <w:spacing w:line="240" w:lineRule="auto"/>
              <w:jc w:val="center"/>
              <w:rPr>
                <w:rFonts w:hint="eastAsia" w:ascii="楷体" w:hAnsi="楷体" w:eastAsia="楷体" w:cs="楷体"/>
                <w:b/>
                <w:bCs/>
                <w:color w:val="auto"/>
                <w:sz w:val="24"/>
                <w:szCs w:val="24"/>
                <w:highlight w:val="none"/>
                <w:lang w:val="en-US" w:eastAsia="zh-CN"/>
              </w:rPr>
            </w:pPr>
            <w:r>
              <w:rPr>
                <w:rFonts w:hint="eastAsia" w:ascii="楷体" w:hAnsi="楷体" w:eastAsia="楷体" w:cs="楷体"/>
                <w:b/>
                <w:bCs/>
                <w:color w:val="auto"/>
                <w:sz w:val="24"/>
                <w:szCs w:val="24"/>
                <w:highlight w:val="none"/>
                <w:lang w:val="en-US" w:eastAsia="zh-CN"/>
              </w:rPr>
              <w:t>序号</w:t>
            </w:r>
          </w:p>
        </w:tc>
        <w:tc>
          <w:tcPr>
            <w:tcW w:w="1421" w:type="dxa"/>
            <w:vAlign w:val="center"/>
          </w:tcPr>
          <w:p w14:paraId="07BB9BE1">
            <w:pPr>
              <w:spacing w:line="240" w:lineRule="auto"/>
              <w:jc w:val="center"/>
              <w:rPr>
                <w:rFonts w:hint="eastAsia" w:ascii="楷体" w:hAnsi="楷体" w:eastAsia="楷体" w:cs="楷体"/>
                <w:b/>
                <w:bCs/>
                <w:color w:val="auto"/>
                <w:sz w:val="24"/>
                <w:szCs w:val="24"/>
                <w:highlight w:val="none"/>
                <w:lang w:val="en-US" w:eastAsia="zh-CN"/>
              </w:rPr>
            </w:pPr>
            <w:r>
              <w:rPr>
                <w:rFonts w:hint="eastAsia" w:ascii="楷体" w:hAnsi="楷体" w:eastAsia="楷体" w:cs="楷体"/>
                <w:b/>
                <w:bCs/>
                <w:color w:val="auto"/>
                <w:sz w:val="24"/>
                <w:szCs w:val="24"/>
                <w:highlight w:val="none"/>
                <w:lang w:val="en-US" w:eastAsia="zh-CN"/>
              </w:rPr>
              <w:t>实习实训室（基地）名称</w:t>
            </w:r>
          </w:p>
        </w:tc>
        <w:tc>
          <w:tcPr>
            <w:tcW w:w="3101" w:type="dxa"/>
            <w:vAlign w:val="center"/>
          </w:tcPr>
          <w:p w14:paraId="20588542">
            <w:pPr>
              <w:spacing w:line="240" w:lineRule="auto"/>
              <w:jc w:val="center"/>
              <w:rPr>
                <w:rFonts w:hint="eastAsia" w:ascii="楷体" w:hAnsi="楷体" w:eastAsia="楷体" w:cs="楷体"/>
                <w:b/>
                <w:bCs/>
                <w:color w:val="auto"/>
                <w:sz w:val="24"/>
                <w:szCs w:val="24"/>
                <w:highlight w:val="none"/>
                <w:lang w:val="en-US" w:eastAsia="zh-CN"/>
              </w:rPr>
            </w:pPr>
            <w:r>
              <w:rPr>
                <w:rFonts w:hint="eastAsia" w:ascii="楷体" w:hAnsi="楷体" w:eastAsia="楷体" w:cs="楷体"/>
                <w:b/>
                <w:bCs/>
                <w:color w:val="auto"/>
                <w:sz w:val="24"/>
                <w:szCs w:val="24"/>
                <w:highlight w:val="none"/>
                <w:lang w:val="en-US" w:eastAsia="zh-CN"/>
              </w:rPr>
              <w:t>功能</w:t>
            </w:r>
          </w:p>
        </w:tc>
        <w:tc>
          <w:tcPr>
            <w:tcW w:w="1161" w:type="dxa"/>
            <w:vAlign w:val="center"/>
          </w:tcPr>
          <w:p w14:paraId="5FB5EB67">
            <w:pPr>
              <w:spacing w:line="240" w:lineRule="auto"/>
              <w:jc w:val="center"/>
              <w:rPr>
                <w:rFonts w:hint="eastAsia" w:ascii="楷体" w:hAnsi="楷体" w:eastAsia="楷体" w:cs="楷体"/>
                <w:b/>
                <w:bCs/>
                <w:color w:val="auto"/>
                <w:sz w:val="24"/>
                <w:szCs w:val="24"/>
                <w:highlight w:val="none"/>
                <w:lang w:val="en-US" w:eastAsia="zh-CN"/>
              </w:rPr>
            </w:pPr>
            <w:r>
              <w:rPr>
                <w:rFonts w:hint="eastAsia" w:ascii="楷体" w:hAnsi="楷体" w:eastAsia="楷体" w:cs="楷体"/>
                <w:b/>
                <w:bCs/>
                <w:color w:val="auto"/>
                <w:sz w:val="24"/>
                <w:szCs w:val="24"/>
                <w:highlight w:val="none"/>
                <w:lang w:val="en-US" w:eastAsia="zh-CN"/>
              </w:rPr>
              <w:t>主要设备配置</w:t>
            </w:r>
          </w:p>
        </w:tc>
        <w:tc>
          <w:tcPr>
            <w:tcW w:w="779" w:type="dxa"/>
            <w:vAlign w:val="center"/>
          </w:tcPr>
          <w:p w14:paraId="34983C38">
            <w:pPr>
              <w:spacing w:line="240" w:lineRule="auto"/>
              <w:jc w:val="center"/>
              <w:rPr>
                <w:rFonts w:hint="eastAsia" w:ascii="楷体" w:hAnsi="楷体" w:eastAsia="楷体" w:cs="楷体"/>
                <w:b/>
                <w:bCs/>
                <w:color w:val="auto"/>
                <w:sz w:val="24"/>
                <w:szCs w:val="24"/>
                <w:highlight w:val="none"/>
                <w:lang w:val="en-US" w:eastAsia="zh-CN"/>
              </w:rPr>
            </w:pPr>
            <w:r>
              <w:rPr>
                <w:rFonts w:hint="eastAsia" w:ascii="楷体" w:hAnsi="楷体" w:eastAsia="楷体" w:cs="楷体"/>
                <w:b/>
                <w:bCs/>
                <w:color w:val="auto"/>
                <w:sz w:val="24"/>
                <w:szCs w:val="24"/>
                <w:highlight w:val="none"/>
                <w:lang w:val="en-US" w:eastAsia="zh-CN"/>
              </w:rPr>
              <w:t>工位数</w:t>
            </w:r>
          </w:p>
        </w:tc>
        <w:tc>
          <w:tcPr>
            <w:tcW w:w="671" w:type="dxa"/>
            <w:vAlign w:val="center"/>
          </w:tcPr>
          <w:p w14:paraId="77058A7E">
            <w:pPr>
              <w:spacing w:line="240" w:lineRule="auto"/>
              <w:jc w:val="center"/>
              <w:rPr>
                <w:rFonts w:hint="eastAsia" w:ascii="楷体" w:hAnsi="楷体" w:eastAsia="楷体" w:cs="楷体"/>
                <w:b/>
                <w:bCs/>
                <w:color w:val="auto"/>
                <w:sz w:val="24"/>
                <w:szCs w:val="24"/>
                <w:highlight w:val="none"/>
                <w:lang w:val="en-US" w:eastAsia="zh-CN"/>
              </w:rPr>
            </w:pPr>
            <w:r>
              <w:rPr>
                <w:rFonts w:hint="eastAsia" w:ascii="楷体" w:hAnsi="楷体" w:eastAsia="楷体" w:cs="楷体"/>
                <w:b/>
                <w:bCs/>
                <w:color w:val="auto"/>
                <w:sz w:val="24"/>
                <w:szCs w:val="24"/>
                <w:highlight w:val="none"/>
                <w:lang w:val="en-US" w:eastAsia="zh-CN"/>
              </w:rPr>
              <w:t>面积m2</w:t>
            </w:r>
          </w:p>
        </w:tc>
        <w:tc>
          <w:tcPr>
            <w:tcW w:w="557" w:type="dxa"/>
            <w:vAlign w:val="center"/>
          </w:tcPr>
          <w:p w14:paraId="01876065">
            <w:pPr>
              <w:spacing w:line="240" w:lineRule="auto"/>
              <w:jc w:val="center"/>
              <w:rPr>
                <w:rFonts w:hint="eastAsia" w:ascii="楷体" w:hAnsi="楷体" w:eastAsia="楷体" w:cs="楷体"/>
                <w:b/>
                <w:bCs/>
                <w:color w:val="auto"/>
                <w:sz w:val="24"/>
                <w:szCs w:val="24"/>
                <w:highlight w:val="none"/>
                <w:lang w:val="en-US" w:eastAsia="zh-CN"/>
              </w:rPr>
            </w:pPr>
            <w:r>
              <w:rPr>
                <w:rFonts w:hint="eastAsia" w:ascii="楷体" w:hAnsi="楷体" w:eastAsia="楷体" w:cs="楷体"/>
                <w:b/>
                <w:bCs/>
                <w:color w:val="auto"/>
                <w:sz w:val="24"/>
                <w:szCs w:val="24"/>
                <w:highlight w:val="none"/>
                <w:lang w:val="en-US" w:eastAsia="zh-CN"/>
              </w:rPr>
              <w:t>备注</w:t>
            </w:r>
          </w:p>
        </w:tc>
      </w:tr>
      <w:tr w14:paraId="3E935C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716" w:type="dxa"/>
            <w:vAlign w:val="center"/>
          </w:tcPr>
          <w:p w14:paraId="336AF7C7">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1</w:t>
            </w:r>
          </w:p>
        </w:tc>
        <w:tc>
          <w:tcPr>
            <w:tcW w:w="1421" w:type="dxa"/>
            <w:vAlign w:val="center"/>
          </w:tcPr>
          <w:p w14:paraId="728BD950">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智能会计实训室</w:t>
            </w:r>
          </w:p>
        </w:tc>
        <w:tc>
          <w:tcPr>
            <w:tcW w:w="3101" w:type="dxa"/>
            <w:vAlign w:val="center"/>
          </w:tcPr>
          <w:p w14:paraId="674B97E7">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实训室结合真实财务共享平台和RPA 财务机器人在企业财务、财税服务工作中的具体应用场景，培养学生财务共享的操作能力和财务机器人应用能力，使学生在获取结构化数据的基础上，掌握云财务处理能力和财务流程的自动化处理能力。</w:t>
            </w:r>
          </w:p>
        </w:tc>
        <w:tc>
          <w:tcPr>
            <w:tcW w:w="1161" w:type="dxa"/>
            <w:vAlign w:val="center"/>
          </w:tcPr>
          <w:p w14:paraId="2D601F49">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电脑</w:t>
            </w:r>
          </w:p>
          <w:p w14:paraId="3994C5A1">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配套软件</w:t>
            </w:r>
          </w:p>
          <w:p w14:paraId="25F5E23D">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会议室</w:t>
            </w:r>
          </w:p>
          <w:p w14:paraId="44F571DD">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财务机器人</w:t>
            </w:r>
          </w:p>
          <w:p w14:paraId="7CEC29B7">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高拍仪</w:t>
            </w:r>
          </w:p>
          <w:p w14:paraId="7B4BFE46">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打印机</w:t>
            </w:r>
          </w:p>
        </w:tc>
        <w:tc>
          <w:tcPr>
            <w:tcW w:w="779" w:type="dxa"/>
            <w:vAlign w:val="center"/>
          </w:tcPr>
          <w:p w14:paraId="3AD4FE0B">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50</w:t>
            </w:r>
          </w:p>
        </w:tc>
        <w:tc>
          <w:tcPr>
            <w:tcW w:w="671" w:type="dxa"/>
            <w:vAlign w:val="center"/>
          </w:tcPr>
          <w:p w14:paraId="0E932FEB">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125</w:t>
            </w:r>
          </w:p>
        </w:tc>
        <w:tc>
          <w:tcPr>
            <w:tcW w:w="557" w:type="dxa"/>
            <w:vAlign w:val="center"/>
          </w:tcPr>
          <w:p w14:paraId="7D1A82FC">
            <w:pPr>
              <w:spacing w:line="240" w:lineRule="auto"/>
              <w:jc w:val="center"/>
              <w:rPr>
                <w:rFonts w:hint="eastAsia" w:ascii="楷体" w:hAnsi="楷体" w:eastAsia="楷体" w:cs="楷体"/>
                <w:color w:val="auto"/>
                <w:sz w:val="24"/>
                <w:szCs w:val="24"/>
                <w:highlight w:val="none"/>
                <w:lang w:val="en-US" w:eastAsia="zh-CN"/>
              </w:rPr>
            </w:pPr>
          </w:p>
        </w:tc>
      </w:tr>
      <w:tr w14:paraId="14DB54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716" w:type="dxa"/>
            <w:vAlign w:val="center"/>
          </w:tcPr>
          <w:p w14:paraId="423027D6">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2</w:t>
            </w:r>
          </w:p>
        </w:tc>
        <w:tc>
          <w:tcPr>
            <w:tcW w:w="1421" w:type="dxa"/>
            <w:vAlign w:val="center"/>
          </w:tcPr>
          <w:p w14:paraId="2C790527">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数字财管实训室</w:t>
            </w:r>
          </w:p>
        </w:tc>
        <w:tc>
          <w:tcPr>
            <w:tcW w:w="3101" w:type="dxa"/>
            <w:vAlign w:val="center"/>
          </w:tcPr>
          <w:p w14:paraId="22F4DABA">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实训室按企业需求，采集、清洗、加工数据、完成数据集成和建模等处理工作；运用数据分析工具，进行业务财务数据分析，并进行可视化呈现和数据洞察与预测，培养具备数据思维、数字技术运用、管理型财会人才。</w:t>
            </w:r>
          </w:p>
        </w:tc>
        <w:tc>
          <w:tcPr>
            <w:tcW w:w="1161" w:type="dxa"/>
            <w:vAlign w:val="center"/>
          </w:tcPr>
          <w:p w14:paraId="3402CDB5">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电脑</w:t>
            </w:r>
          </w:p>
          <w:p w14:paraId="70408237">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配套软件</w:t>
            </w:r>
          </w:p>
          <w:p w14:paraId="32DD3340">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会议室</w:t>
            </w:r>
          </w:p>
          <w:p w14:paraId="39F80F69">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财务机器人</w:t>
            </w:r>
          </w:p>
          <w:p w14:paraId="415E852D">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高拍仪</w:t>
            </w:r>
          </w:p>
          <w:p w14:paraId="41C8DE7C">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打印机</w:t>
            </w:r>
          </w:p>
        </w:tc>
        <w:tc>
          <w:tcPr>
            <w:tcW w:w="779" w:type="dxa"/>
            <w:vAlign w:val="center"/>
          </w:tcPr>
          <w:p w14:paraId="0470E690">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50</w:t>
            </w:r>
          </w:p>
        </w:tc>
        <w:tc>
          <w:tcPr>
            <w:tcW w:w="671" w:type="dxa"/>
            <w:vAlign w:val="center"/>
          </w:tcPr>
          <w:p w14:paraId="23D61CDD">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115</w:t>
            </w:r>
          </w:p>
        </w:tc>
        <w:tc>
          <w:tcPr>
            <w:tcW w:w="557" w:type="dxa"/>
            <w:vAlign w:val="center"/>
          </w:tcPr>
          <w:p w14:paraId="5191A38A">
            <w:pPr>
              <w:spacing w:line="240" w:lineRule="auto"/>
              <w:jc w:val="center"/>
              <w:rPr>
                <w:rFonts w:hint="eastAsia" w:ascii="楷体" w:hAnsi="楷体" w:eastAsia="楷体" w:cs="楷体"/>
                <w:color w:val="auto"/>
                <w:sz w:val="24"/>
                <w:szCs w:val="24"/>
                <w:highlight w:val="none"/>
                <w:lang w:val="en-US" w:eastAsia="zh-CN"/>
              </w:rPr>
            </w:pPr>
          </w:p>
        </w:tc>
      </w:tr>
      <w:tr w14:paraId="2169E9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716" w:type="dxa"/>
            <w:vAlign w:val="center"/>
          </w:tcPr>
          <w:p w14:paraId="63EC1EC0">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3</w:t>
            </w:r>
          </w:p>
        </w:tc>
        <w:tc>
          <w:tcPr>
            <w:tcW w:w="1421" w:type="dxa"/>
            <w:vAlign w:val="center"/>
          </w:tcPr>
          <w:p w14:paraId="5BD42F49">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智慧审计实训室</w:t>
            </w:r>
          </w:p>
        </w:tc>
        <w:tc>
          <w:tcPr>
            <w:tcW w:w="3101" w:type="dxa"/>
            <w:vAlign w:val="center"/>
          </w:tcPr>
          <w:p w14:paraId="27E72166">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实训室实现真实业务、审计流程、全业务数据的综合实训；通过融合1+X金税财务应用职业技能培训和纳税筹划风险控制平台，辅助实现企业业务数据的完整性，锻炼学生审计综合技能运用；实现《智慧化税费申报与管理》核心课程的数字化转型和课程实训。</w:t>
            </w:r>
          </w:p>
        </w:tc>
        <w:tc>
          <w:tcPr>
            <w:tcW w:w="1161" w:type="dxa"/>
            <w:vAlign w:val="center"/>
          </w:tcPr>
          <w:p w14:paraId="124D96DA">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电脑</w:t>
            </w:r>
          </w:p>
          <w:p w14:paraId="78E8B92C">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配套软件</w:t>
            </w:r>
          </w:p>
          <w:p w14:paraId="6923458F">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会议室</w:t>
            </w:r>
          </w:p>
          <w:p w14:paraId="050540EE">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高拍仪</w:t>
            </w:r>
          </w:p>
          <w:p w14:paraId="7A883533">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打印机</w:t>
            </w:r>
          </w:p>
        </w:tc>
        <w:tc>
          <w:tcPr>
            <w:tcW w:w="779" w:type="dxa"/>
            <w:vAlign w:val="center"/>
          </w:tcPr>
          <w:p w14:paraId="45C545E2">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55</w:t>
            </w:r>
          </w:p>
        </w:tc>
        <w:tc>
          <w:tcPr>
            <w:tcW w:w="671" w:type="dxa"/>
            <w:vAlign w:val="center"/>
          </w:tcPr>
          <w:p w14:paraId="21D4C895">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115</w:t>
            </w:r>
          </w:p>
        </w:tc>
        <w:tc>
          <w:tcPr>
            <w:tcW w:w="557" w:type="dxa"/>
            <w:vAlign w:val="center"/>
          </w:tcPr>
          <w:p w14:paraId="2B0D9E0F">
            <w:pPr>
              <w:spacing w:line="240" w:lineRule="auto"/>
              <w:jc w:val="center"/>
              <w:rPr>
                <w:rFonts w:hint="eastAsia" w:ascii="楷体" w:hAnsi="楷体" w:eastAsia="楷体" w:cs="楷体"/>
                <w:color w:val="auto"/>
                <w:sz w:val="24"/>
                <w:szCs w:val="24"/>
                <w:highlight w:val="none"/>
                <w:lang w:val="en-US" w:eastAsia="zh-CN"/>
              </w:rPr>
            </w:pPr>
          </w:p>
        </w:tc>
      </w:tr>
      <w:tr w14:paraId="4F96CC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716" w:type="dxa"/>
            <w:vAlign w:val="center"/>
          </w:tcPr>
          <w:p w14:paraId="75DC5EF6">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4</w:t>
            </w:r>
          </w:p>
        </w:tc>
        <w:tc>
          <w:tcPr>
            <w:tcW w:w="1421" w:type="dxa"/>
            <w:vAlign w:val="center"/>
          </w:tcPr>
          <w:p w14:paraId="26B79653">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税务实战实训室</w:t>
            </w:r>
          </w:p>
        </w:tc>
        <w:tc>
          <w:tcPr>
            <w:tcW w:w="3101" w:type="dxa"/>
            <w:vAlign w:val="center"/>
          </w:tcPr>
          <w:p w14:paraId="61413ACA">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实训室由企业导师带领学生借助企业级纳税筹划平台，实际参与公司的财税咨询、财税门诊、专业定制等多种实践工作，多方面提高学生的税控风险防范能力和纳税筹划能力。</w:t>
            </w:r>
          </w:p>
        </w:tc>
        <w:tc>
          <w:tcPr>
            <w:tcW w:w="1161" w:type="dxa"/>
            <w:vAlign w:val="center"/>
          </w:tcPr>
          <w:p w14:paraId="23B10618">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电脑</w:t>
            </w:r>
          </w:p>
          <w:p w14:paraId="75F15F56">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配套软件</w:t>
            </w:r>
          </w:p>
          <w:p w14:paraId="698D3773">
            <w:pPr>
              <w:spacing w:line="240" w:lineRule="auto"/>
              <w:jc w:val="center"/>
              <w:rPr>
                <w:rFonts w:hint="eastAsia" w:ascii="楷体" w:hAnsi="楷体" w:eastAsia="楷体" w:cs="楷体"/>
                <w:color w:val="auto"/>
                <w:sz w:val="24"/>
                <w:szCs w:val="24"/>
                <w:highlight w:val="none"/>
                <w:lang w:val="en-US" w:eastAsia="zh-CN"/>
              </w:rPr>
            </w:pPr>
          </w:p>
        </w:tc>
        <w:tc>
          <w:tcPr>
            <w:tcW w:w="779" w:type="dxa"/>
            <w:vAlign w:val="center"/>
          </w:tcPr>
          <w:p w14:paraId="0CA66877">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10</w:t>
            </w:r>
          </w:p>
        </w:tc>
        <w:tc>
          <w:tcPr>
            <w:tcW w:w="671" w:type="dxa"/>
            <w:vAlign w:val="center"/>
          </w:tcPr>
          <w:p w14:paraId="01B1C425">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49</w:t>
            </w:r>
          </w:p>
        </w:tc>
        <w:tc>
          <w:tcPr>
            <w:tcW w:w="557" w:type="dxa"/>
            <w:vAlign w:val="center"/>
          </w:tcPr>
          <w:p w14:paraId="5F889871">
            <w:pPr>
              <w:spacing w:line="240" w:lineRule="auto"/>
              <w:jc w:val="center"/>
              <w:rPr>
                <w:rFonts w:hint="eastAsia" w:ascii="楷体" w:hAnsi="楷体" w:eastAsia="楷体" w:cs="楷体"/>
                <w:color w:val="auto"/>
                <w:sz w:val="24"/>
                <w:szCs w:val="24"/>
                <w:highlight w:val="none"/>
                <w:lang w:val="en-US" w:eastAsia="zh-CN"/>
              </w:rPr>
            </w:pPr>
          </w:p>
        </w:tc>
      </w:tr>
    </w:tbl>
    <w:p w14:paraId="7DF806C7">
      <w:pPr>
        <w:spacing w:before="240"/>
        <w:ind w:firstLine="560" w:firstLineChars="2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3.紧密合作企业一览表</w:t>
      </w:r>
    </w:p>
    <w:tbl>
      <w:tblPr>
        <w:tblStyle w:val="20"/>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2711"/>
        <w:gridCol w:w="5695"/>
      </w:tblGrid>
      <w:tr w14:paraId="46BD06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3" w:hRule="atLeast"/>
          <w:jc w:val="center"/>
        </w:trPr>
        <w:tc>
          <w:tcPr>
            <w:tcW w:w="0" w:type="auto"/>
            <w:vAlign w:val="center"/>
          </w:tcPr>
          <w:p w14:paraId="566641AE">
            <w:pPr>
              <w:spacing w:line="240" w:lineRule="auto"/>
              <w:jc w:val="center"/>
              <w:rPr>
                <w:rFonts w:hint="eastAsia" w:ascii="楷体" w:hAnsi="楷体" w:eastAsia="楷体" w:cs="楷体"/>
                <w:b/>
                <w:bCs/>
                <w:color w:val="auto"/>
                <w:sz w:val="24"/>
                <w:szCs w:val="24"/>
                <w:highlight w:val="none"/>
                <w:lang w:val="en-US" w:eastAsia="zh-CN"/>
              </w:rPr>
            </w:pPr>
            <w:r>
              <w:rPr>
                <w:rFonts w:hint="eastAsia" w:ascii="楷体" w:hAnsi="楷体" w:eastAsia="楷体" w:cs="楷体"/>
                <w:b/>
                <w:bCs/>
                <w:color w:val="auto"/>
                <w:sz w:val="24"/>
                <w:szCs w:val="24"/>
                <w:highlight w:val="none"/>
                <w:lang w:val="en-US" w:eastAsia="zh-CN"/>
              </w:rPr>
              <w:t>合作企业名称</w:t>
            </w:r>
          </w:p>
        </w:tc>
        <w:tc>
          <w:tcPr>
            <w:tcW w:w="0" w:type="auto"/>
            <w:vAlign w:val="center"/>
          </w:tcPr>
          <w:p w14:paraId="1AB9227D">
            <w:pPr>
              <w:spacing w:line="240" w:lineRule="auto"/>
              <w:jc w:val="center"/>
              <w:rPr>
                <w:rFonts w:hint="eastAsia" w:ascii="楷体" w:hAnsi="楷体" w:eastAsia="楷体" w:cs="楷体"/>
                <w:b/>
                <w:bCs/>
                <w:color w:val="auto"/>
                <w:sz w:val="24"/>
                <w:szCs w:val="24"/>
                <w:highlight w:val="none"/>
                <w:lang w:val="en-US" w:eastAsia="zh-CN"/>
              </w:rPr>
            </w:pPr>
            <w:r>
              <w:rPr>
                <w:rFonts w:hint="eastAsia" w:ascii="楷体" w:hAnsi="楷体" w:eastAsia="楷体" w:cs="楷体"/>
                <w:b/>
                <w:bCs/>
                <w:color w:val="auto"/>
                <w:sz w:val="24"/>
                <w:szCs w:val="24"/>
                <w:highlight w:val="none"/>
                <w:lang w:val="en-US" w:eastAsia="zh-CN"/>
              </w:rPr>
              <w:t>合作内容</w:t>
            </w:r>
          </w:p>
        </w:tc>
      </w:tr>
      <w:tr w14:paraId="635039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3" w:hRule="atLeast"/>
          <w:jc w:val="center"/>
        </w:trPr>
        <w:tc>
          <w:tcPr>
            <w:tcW w:w="0" w:type="auto"/>
            <w:vAlign w:val="center"/>
          </w:tcPr>
          <w:p w14:paraId="25A4B60E">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浙江泰隆商业银行股份有限公司温州分行</w:t>
            </w:r>
          </w:p>
        </w:tc>
        <w:tc>
          <w:tcPr>
            <w:tcW w:w="0" w:type="auto"/>
            <w:vAlign w:val="center"/>
          </w:tcPr>
          <w:p w14:paraId="27CB6E37">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采用订单班方式培养提供就业和实习岗位、专业建设指导。</w:t>
            </w:r>
          </w:p>
        </w:tc>
      </w:tr>
      <w:tr w14:paraId="73CB02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3" w:hRule="atLeast"/>
          <w:jc w:val="center"/>
        </w:trPr>
        <w:tc>
          <w:tcPr>
            <w:tcW w:w="0" w:type="auto"/>
            <w:vAlign w:val="center"/>
          </w:tcPr>
          <w:p w14:paraId="4A5C5BDF">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浙江爱信诺航天信息技术有限公司温州分公司</w:t>
            </w:r>
          </w:p>
        </w:tc>
        <w:tc>
          <w:tcPr>
            <w:tcW w:w="0" w:type="auto"/>
            <w:vAlign w:val="center"/>
          </w:tcPr>
          <w:p w14:paraId="7E3A43D2">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采用订单班方式培养提供就业和实习岗位、提供兼职教师和教师锻炼岗位、专业建设指导</w:t>
            </w:r>
          </w:p>
        </w:tc>
      </w:tr>
      <w:tr w14:paraId="2EFBA2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3" w:hRule="atLeast"/>
          <w:jc w:val="center"/>
        </w:trPr>
        <w:tc>
          <w:tcPr>
            <w:tcW w:w="0" w:type="auto"/>
            <w:vAlign w:val="center"/>
          </w:tcPr>
          <w:p w14:paraId="33005B95">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温州星原统计服务有限公司</w:t>
            </w:r>
          </w:p>
        </w:tc>
        <w:tc>
          <w:tcPr>
            <w:tcW w:w="0" w:type="auto"/>
            <w:vAlign w:val="center"/>
          </w:tcPr>
          <w:p w14:paraId="36D7814F">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采用订单班方式培养提供就业和实习岗位、提供兼职教师和教师锻炼岗位、专业建设指导</w:t>
            </w:r>
          </w:p>
        </w:tc>
      </w:tr>
      <w:tr w14:paraId="37897A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3" w:hRule="atLeast"/>
          <w:jc w:val="center"/>
        </w:trPr>
        <w:tc>
          <w:tcPr>
            <w:tcW w:w="0" w:type="auto"/>
            <w:vAlign w:val="center"/>
          </w:tcPr>
          <w:p w14:paraId="7D5C9697">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温州中源立德会计事务所</w:t>
            </w:r>
          </w:p>
        </w:tc>
        <w:tc>
          <w:tcPr>
            <w:tcW w:w="0" w:type="auto"/>
            <w:vAlign w:val="center"/>
          </w:tcPr>
          <w:p w14:paraId="3D1167BE">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提供就业和实习岗位、提供兼职教师、合作开发课程和教材、专业建设指导</w:t>
            </w:r>
          </w:p>
        </w:tc>
      </w:tr>
      <w:tr w14:paraId="7FF287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3" w:hRule="atLeast"/>
          <w:jc w:val="center"/>
        </w:trPr>
        <w:tc>
          <w:tcPr>
            <w:tcW w:w="0" w:type="auto"/>
            <w:vAlign w:val="center"/>
          </w:tcPr>
          <w:p w14:paraId="5D87B692">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温州华明会计师事务所</w:t>
            </w:r>
          </w:p>
        </w:tc>
        <w:tc>
          <w:tcPr>
            <w:tcW w:w="0" w:type="auto"/>
            <w:vAlign w:val="center"/>
          </w:tcPr>
          <w:p w14:paraId="5A0246E5">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提供专业对口实习岗位、合作开发课程和教材、专业建设指导</w:t>
            </w:r>
          </w:p>
        </w:tc>
      </w:tr>
      <w:tr w14:paraId="71E046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3" w:hRule="atLeast"/>
          <w:jc w:val="center"/>
        </w:trPr>
        <w:tc>
          <w:tcPr>
            <w:tcW w:w="0" w:type="auto"/>
            <w:vAlign w:val="center"/>
          </w:tcPr>
          <w:p w14:paraId="5573FFD0">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温州名城建设投资集团</w:t>
            </w:r>
          </w:p>
        </w:tc>
        <w:tc>
          <w:tcPr>
            <w:tcW w:w="0" w:type="auto"/>
            <w:vAlign w:val="center"/>
          </w:tcPr>
          <w:p w14:paraId="052FFC5F">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提供就业和实习岗位、提供兼职教师、专业建设指导</w:t>
            </w:r>
          </w:p>
        </w:tc>
      </w:tr>
      <w:tr w14:paraId="1C5B46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3" w:hRule="atLeast"/>
          <w:jc w:val="center"/>
        </w:trPr>
        <w:tc>
          <w:tcPr>
            <w:tcW w:w="0" w:type="auto"/>
            <w:vAlign w:val="center"/>
          </w:tcPr>
          <w:p w14:paraId="7AF27E60">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中国邮政集团有限公司浙江省分公司</w:t>
            </w:r>
          </w:p>
        </w:tc>
        <w:tc>
          <w:tcPr>
            <w:tcW w:w="0" w:type="auto"/>
            <w:vAlign w:val="center"/>
          </w:tcPr>
          <w:p w14:paraId="16BC3F59">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采用订单班方式培养提供就业和实习岗位、提供兼职教师和教师锻炼岗位、专业建设指导</w:t>
            </w:r>
          </w:p>
        </w:tc>
      </w:tr>
      <w:tr w14:paraId="631933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3" w:hRule="atLeast"/>
          <w:jc w:val="center"/>
        </w:trPr>
        <w:tc>
          <w:tcPr>
            <w:tcW w:w="0" w:type="auto"/>
            <w:vAlign w:val="center"/>
          </w:tcPr>
          <w:p w14:paraId="023185AB">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温州飞翔税务师事务所</w:t>
            </w:r>
          </w:p>
        </w:tc>
        <w:tc>
          <w:tcPr>
            <w:tcW w:w="0" w:type="auto"/>
            <w:vAlign w:val="center"/>
          </w:tcPr>
          <w:p w14:paraId="651AF416">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提供专业对口实习岗位、提供教师锻炼岗位、合作开发课程和教材、专业建设指导</w:t>
            </w:r>
          </w:p>
        </w:tc>
      </w:tr>
      <w:tr w14:paraId="193776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3" w:hRule="atLeast"/>
          <w:jc w:val="center"/>
        </w:trPr>
        <w:tc>
          <w:tcPr>
            <w:tcW w:w="0" w:type="auto"/>
            <w:vAlign w:val="center"/>
          </w:tcPr>
          <w:p w14:paraId="351A495A">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中国路港集团</w:t>
            </w:r>
          </w:p>
        </w:tc>
        <w:tc>
          <w:tcPr>
            <w:tcW w:w="0" w:type="auto"/>
            <w:vAlign w:val="center"/>
          </w:tcPr>
          <w:p w14:paraId="1A032D1A">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提供就业和实习岗位、提供兼职教师、合作开发课程和教材、专业建设指导</w:t>
            </w:r>
          </w:p>
        </w:tc>
      </w:tr>
      <w:tr w14:paraId="5C3D39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3" w:hRule="atLeast"/>
          <w:jc w:val="center"/>
        </w:trPr>
        <w:tc>
          <w:tcPr>
            <w:tcW w:w="0" w:type="auto"/>
            <w:vAlign w:val="center"/>
          </w:tcPr>
          <w:p w14:paraId="6BCD76D8">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温州诚达会计师事务所</w:t>
            </w:r>
          </w:p>
        </w:tc>
        <w:tc>
          <w:tcPr>
            <w:tcW w:w="0" w:type="auto"/>
            <w:vAlign w:val="center"/>
          </w:tcPr>
          <w:p w14:paraId="21E72BE1">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提供专业对口实习岗位、提供兼职教师、提供教师锻炼岗位、合作开发课程和教材、专业建设指导</w:t>
            </w:r>
          </w:p>
        </w:tc>
      </w:tr>
      <w:tr w14:paraId="3FB9A0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3" w:hRule="atLeast"/>
          <w:jc w:val="center"/>
        </w:trPr>
        <w:tc>
          <w:tcPr>
            <w:tcW w:w="0" w:type="auto"/>
            <w:vAlign w:val="center"/>
          </w:tcPr>
          <w:p w14:paraId="21AE968F">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温州现代服务业投资集团</w:t>
            </w:r>
          </w:p>
        </w:tc>
        <w:tc>
          <w:tcPr>
            <w:tcW w:w="0" w:type="auto"/>
            <w:vAlign w:val="center"/>
          </w:tcPr>
          <w:p w14:paraId="7EC53B95">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提供就业和实习岗位、提供兼职教师</w:t>
            </w:r>
          </w:p>
        </w:tc>
      </w:tr>
      <w:tr w14:paraId="03C99D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3" w:hRule="atLeast"/>
          <w:jc w:val="center"/>
        </w:trPr>
        <w:tc>
          <w:tcPr>
            <w:tcW w:w="0" w:type="auto"/>
            <w:vAlign w:val="center"/>
          </w:tcPr>
          <w:p w14:paraId="6C5F2841">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温州报喜鸟服饰股份有限公司</w:t>
            </w:r>
          </w:p>
        </w:tc>
        <w:tc>
          <w:tcPr>
            <w:tcW w:w="0" w:type="auto"/>
            <w:vAlign w:val="center"/>
          </w:tcPr>
          <w:p w14:paraId="58CD392C">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提供就业和实习岗位、提供兼职教师</w:t>
            </w:r>
          </w:p>
        </w:tc>
      </w:tr>
      <w:tr w14:paraId="5C37BF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3" w:hRule="atLeast"/>
          <w:jc w:val="center"/>
        </w:trPr>
        <w:tc>
          <w:tcPr>
            <w:tcW w:w="0" w:type="auto"/>
            <w:vAlign w:val="center"/>
          </w:tcPr>
          <w:p w14:paraId="77C21B85">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中国奥康集团有限公司</w:t>
            </w:r>
          </w:p>
        </w:tc>
        <w:tc>
          <w:tcPr>
            <w:tcW w:w="0" w:type="auto"/>
            <w:vAlign w:val="center"/>
          </w:tcPr>
          <w:p w14:paraId="4277EE03">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提供就业与实习岗位</w:t>
            </w:r>
          </w:p>
        </w:tc>
      </w:tr>
      <w:tr w14:paraId="6BDCC7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3" w:hRule="atLeast"/>
          <w:jc w:val="center"/>
        </w:trPr>
        <w:tc>
          <w:tcPr>
            <w:tcW w:w="0" w:type="auto"/>
            <w:vAlign w:val="center"/>
          </w:tcPr>
          <w:p w14:paraId="2F52BFD0">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正泰股份有限公司</w:t>
            </w:r>
          </w:p>
        </w:tc>
        <w:tc>
          <w:tcPr>
            <w:tcW w:w="0" w:type="auto"/>
            <w:vAlign w:val="center"/>
          </w:tcPr>
          <w:p w14:paraId="3A1EA2B9">
            <w:pPr>
              <w:spacing w:line="240" w:lineRule="auto"/>
              <w:jc w:val="center"/>
              <w:rPr>
                <w:rFonts w:hint="eastAsia" w:ascii="楷体" w:hAnsi="楷体" w:eastAsia="楷体" w:cs="楷体"/>
                <w:color w:val="auto"/>
                <w:sz w:val="24"/>
                <w:szCs w:val="24"/>
                <w:highlight w:val="none"/>
                <w:lang w:val="en-US" w:eastAsia="zh-CN"/>
              </w:rPr>
            </w:pPr>
            <w:r>
              <w:rPr>
                <w:rFonts w:hint="eastAsia" w:ascii="楷体" w:hAnsi="楷体" w:eastAsia="楷体" w:cs="楷体"/>
                <w:color w:val="auto"/>
                <w:sz w:val="24"/>
                <w:szCs w:val="24"/>
                <w:highlight w:val="none"/>
                <w:lang w:val="en-US" w:eastAsia="zh-CN"/>
              </w:rPr>
              <w:t>提供就业与实习岗位</w:t>
            </w:r>
          </w:p>
        </w:tc>
      </w:tr>
    </w:tbl>
    <w:p w14:paraId="0BFEEBC7">
      <w:pPr>
        <w:spacing w:before="240"/>
        <w:outlineLvl w:val="0"/>
        <w:rPr>
          <w:rFonts w:ascii="黑体" w:hAnsi="黑体" w:eastAsia="黑体"/>
          <w:color w:val="000000"/>
          <w:sz w:val="28"/>
          <w:szCs w:val="28"/>
        </w:rPr>
      </w:pPr>
      <w:r>
        <w:rPr>
          <w:rFonts w:hint="eastAsia" w:ascii="黑体" w:hAnsi="黑体" w:eastAsia="黑体"/>
          <w:color w:val="000000"/>
          <w:sz w:val="28"/>
          <w:szCs w:val="28"/>
        </w:rPr>
        <w:t>八、毕业要求</w:t>
      </w:r>
    </w:p>
    <w:p w14:paraId="540AA32F">
      <w:pPr>
        <w:spacing w:before="240"/>
        <w:ind w:firstLine="560" w:firstLineChars="200"/>
        <w:outlineLvl w:val="0"/>
        <w:rPr>
          <w:rFonts w:ascii="楷体" w:hAnsi="楷体" w:eastAsia="楷体"/>
          <w:color w:val="000000"/>
          <w:sz w:val="28"/>
          <w:szCs w:val="28"/>
        </w:rPr>
      </w:pPr>
      <w:r>
        <w:rPr>
          <w:rFonts w:hint="eastAsia" w:ascii="楷体" w:hAnsi="楷体" w:eastAsia="楷体"/>
          <w:color w:val="000000"/>
          <w:sz w:val="28"/>
          <w:szCs w:val="28"/>
        </w:rPr>
        <w:t>取得学籍的学生，德、体合格，在学习年限内，学完教学计划规定的本专业全部课程和实践性教学环节，成绩合格，可准予毕业，并发给毕业证书。</w:t>
      </w:r>
    </w:p>
    <w:p w14:paraId="6ECFFE96"/>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979E4">
    <w:pPr>
      <w:pStyle w:val="4"/>
      <w:jc w:val="right"/>
    </w:pPr>
    <w:r>
      <w:rPr>
        <w:rFonts w:hint="eastAsia"/>
      </w:rPr>
      <w:t xml:space="preserve">  </w:t>
    </w:r>
  </w:p>
  <w:p w14:paraId="1FC0489E">
    <w:r>
      <mc:AlternateContent>
        <mc:Choice Requires="wps">
          <w:drawing>
            <wp:anchor distT="0" distB="0" distL="114300" distR="114300" simplePos="0" relativeHeight="251661312" behindDoc="0" locked="0" layoutInCell="1" allowOverlap="1">
              <wp:simplePos x="0" y="0"/>
              <wp:positionH relativeFrom="column">
                <wp:posOffset>-219075</wp:posOffset>
              </wp:positionH>
              <wp:positionV relativeFrom="paragraph">
                <wp:posOffset>206375</wp:posOffset>
              </wp:positionV>
              <wp:extent cx="6591300" cy="1403985"/>
              <wp:effectExtent l="0" t="0" r="19050" b="12065"/>
              <wp:wrapNone/>
              <wp:docPr id="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91300" cy="1403985"/>
                      </a:xfrm>
                      <a:prstGeom prst="rect">
                        <a:avLst/>
                      </a:prstGeom>
                      <a:solidFill>
                        <a:srgbClr val="FFFFFF"/>
                      </a:solidFill>
                      <a:ln w="9525">
                        <a:solidFill>
                          <a:schemeClr val="bg1"/>
                        </a:solidFill>
                        <a:miter lim="800000"/>
                      </a:ln>
                    </wps:spPr>
                    <wps:txbx>
                      <w:txbxContent>
                        <w:p w14:paraId="418182EA">
                          <w:pPr>
                            <w:pStyle w:val="4"/>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w:t>
                          </w:r>
                          <w:r>
                            <w:rPr>
                              <w:rFonts w:hint="eastAsia"/>
                              <w:color w:val="808080" w:themeColor="background1" w:themeShade="80"/>
                              <w:lang w:eastAsia="zh-CN"/>
                            </w:rPr>
                            <w:t>鹿城学院</w:t>
                          </w:r>
                          <w:r>
                            <w:rPr>
                              <w:rFonts w:hint="eastAsia"/>
                              <w:color w:val="808080" w:themeColor="background1" w:themeShade="80"/>
                            </w:rPr>
                            <w:t>）</w:t>
                          </w:r>
                        </w:p>
                        <w:p w14:paraId="439D8069">
                          <w:pPr>
                            <w:pStyle w:val="4"/>
                            <w:jc w:val="right"/>
                            <w:rPr>
                              <w:rFonts w:hint="eastAsia" w:eastAsiaTheme="minorEastAsia"/>
                              <w:color w:val="808080" w:themeColor="background1" w:themeShade="80"/>
                              <w:lang w:val="en-US"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1D7B7FA6"/>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7.25pt;margin-top:16.25pt;height:110.55pt;width:519pt;z-index:251661312;mso-width-relative:page;mso-height-relative:margin;mso-height-percent:200;" fillcolor="#FFFFFF" filled="t" stroked="t" coordsize="21600,21600" o:gfxdata="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jw2X/bAAAACwEAAA8AAAAAAAAAAQAgAAAAIgAAAGRycy9k&#10;b3ducmV2LnhtbFBLAQIUABQAAAAIAIdO4kC9o7GMOAIAAHwEAAAOAAAAAAAAAAEAIAAAACoBAABk&#10;cnMvZTJvRG9jLnhtbFBLBQYAAAAABgAGAFkBAADUBQAAAAA=&#10;">
              <v:fill on="t" focussize="0,0"/>
              <v:stroke color="#FFFFFF [3212]" miterlimit="8" joinstyle="miter"/>
              <v:imagedata o:title=""/>
              <o:lock v:ext="edit" aspectratio="f"/>
              <v:textbox style="mso-fit-shape-to-text:t;">
                <w:txbxContent>
                  <w:p w14:paraId="418182EA">
                    <w:pPr>
                      <w:pStyle w:val="4"/>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w:t>
                    </w:r>
                    <w:r>
                      <w:rPr>
                        <w:rFonts w:hint="eastAsia"/>
                        <w:color w:val="808080" w:themeColor="background1" w:themeShade="80"/>
                        <w:lang w:eastAsia="zh-CN"/>
                      </w:rPr>
                      <w:t>鹿城学院</w:t>
                    </w:r>
                    <w:r>
                      <w:rPr>
                        <w:rFonts w:hint="eastAsia"/>
                        <w:color w:val="808080" w:themeColor="background1" w:themeShade="80"/>
                      </w:rPr>
                      <w:t>）</w:t>
                    </w:r>
                  </w:p>
                  <w:p w14:paraId="439D8069">
                    <w:pPr>
                      <w:pStyle w:val="4"/>
                      <w:jc w:val="right"/>
                      <w:rPr>
                        <w:rFonts w:hint="eastAsia" w:eastAsiaTheme="minorEastAsia"/>
                        <w:color w:val="808080" w:themeColor="background1" w:themeShade="80"/>
                        <w:lang w:val="en-US"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1D7B7FA6"/>
                </w:txbxContent>
              </v:textbox>
            </v:shape>
          </w:pict>
        </mc:Fallback>
      </mc:AlternateContent>
    </w:r>
    <w:r>
      <w:drawing>
        <wp:anchor distT="0" distB="0" distL="114300" distR="114300" simplePos="0" relativeHeight="251662336" behindDoc="0" locked="0" layoutInCell="1" allowOverlap="1">
          <wp:simplePos x="0" y="0"/>
          <wp:positionH relativeFrom="margin">
            <wp:posOffset>-1352550</wp:posOffset>
          </wp:positionH>
          <wp:positionV relativeFrom="margin">
            <wp:posOffset>9572625</wp:posOffset>
          </wp:positionV>
          <wp:extent cx="7791450" cy="304800"/>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rcRect t="20000" r="46141"/>
                  <a:stretch>
                    <a:fillRect/>
                  </a:stretch>
                </pic:blipFill>
                <pic:spPr>
                  <a:xfrm>
                    <a:off x="0" y="0"/>
                    <a:ext cx="7791450" cy="304800"/>
                  </a:xfrm>
                  <a:prstGeom prst="rect">
                    <a:avLst/>
                  </a:prstGeom>
                  <a:ln>
                    <a:noFill/>
                  </a:ln>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393FF">
    <w:pPr>
      <w:pStyle w:val="5"/>
      <w:pBdr>
        <w:bottom w:val="none" w:color="auto" w:sz="0" w:space="0"/>
      </w:pBdr>
    </w:pPr>
    <w:r>
      <mc:AlternateContent>
        <mc:Choice Requires="wps">
          <w:drawing>
            <wp:anchor distT="0" distB="0" distL="114300" distR="114300" simplePos="0" relativeHeight="251660288" behindDoc="0" locked="0" layoutInCell="1" allowOverlap="1">
              <wp:simplePos x="0" y="0"/>
              <wp:positionH relativeFrom="column">
                <wp:posOffset>1533525</wp:posOffset>
              </wp:positionH>
              <wp:positionV relativeFrom="paragraph">
                <wp:posOffset>-254635</wp:posOffset>
              </wp:positionV>
              <wp:extent cx="1609725" cy="342900"/>
              <wp:effectExtent l="0" t="0" r="28575" b="1905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09725" cy="342900"/>
                      </a:xfrm>
                      <a:prstGeom prst="rect">
                        <a:avLst/>
                      </a:prstGeom>
                      <a:solidFill>
                        <a:srgbClr val="FFFFFF"/>
                      </a:solidFill>
                      <a:ln w="9525">
                        <a:solidFill>
                          <a:schemeClr val="bg1"/>
                        </a:solidFill>
                        <a:miter lim="800000"/>
                      </a:ln>
                    </wps:spPr>
                    <wps:txbx>
                      <w:txbxContent>
                        <w:p w14:paraId="46109113">
                          <w:pPr>
                            <w:rPr>
                              <w:rFonts w:hint="eastAsia"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20.75pt;margin-top:-20.05pt;height:27pt;width:126.75pt;z-index:251660288;mso-width-relative:page;mso-height-relative:page;" fillcolor="#FFFFFF" filled="t" stroked="t" coordsize="21600,21600" o:gfxdata="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2mA1adgAAAAKAQAADwAAAAAAAAABACAAAAAiAAAAZHJzL2Rvd25y&#10;ZXYueG1sUEsBAhQAFAAAAAgAh07iQDX/qW43AgAAfQQAAA4AAAAAAAAAAQAgAAAAJwEAAGRycy9l&#10;Mm9Eb2MueG1sUEsFBgAAAAAGAAYAWQEAANAFAAAAAA==&#10;">
              <v:fill on="t" focussize="0,0"/>
              <v:stroke color="#FFFFFF [3212]" miterlimit="8" joinstyle="miter"/>
              <v:imagedata o:title=""/>
              <o:lock v:ext="edit" aspectratio="f"/>
              <v:textbox>
                <w:txbxContent>
                  <w:p w14:paraId="46109113">
                    <w:pPr>
                      <w:rPr>
                        <w:rFonts w:hint="eastAsia"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v:textbox>
            </v:shape>
          </w:pict>
        </mc:Fallback>
      </mc:AlternateContent>
    </w:r>
    <w:r>
      <w:drawing>
        <wp:anchor distT="0" distB="0" distL="114300" distR="114300" simplePos="0" relativeHeight="251659264" behindDoc="0" locked="0" layoutInCell="1" allowOverlap="1">
          <wp:simplePos x="0" y="0"/>
          <wp:positionH relativeFrom="margin">
            <wp:posOffset>-381000</wp:posOffset>
          </wp:positionH>
          <wp:positionV relativeFrom="margin">
            <wp:posOffset>-762000</wp:posOffset>
          </wp:positionV>
          <wp:extent cx="1952625" cy="365125"/>
          <wp:effectExtent l="0" t="0" r="952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52625" cy="365125"/>
                  </a:xfrm>
                  <a:prstGeom prst="rect">
                    <a:avLst/>
                  </a:prstGeom>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C2F494"/>
    <w:multiLevelType w:val="singleLevel"/>
    <w:tmpl w:val="31C2F494"/>
    <w:lvl w:ilvl="0" w:tentative="0">
      <w:start w:val="6"/>
      <w:numFmt w:val="chineseCounting"/>
      <w:suff w:val="nothing"/>
      <w:lvlText w:val="%1、"/>
      <w:lvlJc w:val="left"/>
      <w:pPr>
        <w:ind w:left="-1"/>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4OWEwYzdkNjI4YzE1OTI2MjVjMTBkZDRkYmZlODcifQ=="/>
  </w:docVars>
  <w:rsids>
    <w:rsidRoot w:val="00AB11F2"/>
    <w:rsid w:val="00146E28"/>
    <w:rsid w:val="001B6C26"/>
    <w:rsid w:val="001C5096"/>
    <w:rsid w:val="001F41D3"/>
    <w:rsid w:val="00663B75"/>
    <w:rsid w:val="00855E86"/>
    <w:rsid w:val="00867274"/>
    <w:rsid w:val="00AB11F2"/>
    <w:rsid w:val="00B52E38"/>
    <w:rsid w:val="00B6235D"/>
    <w:rsid w:val="00CD7C48"/>
    <w:rsid w:val="054D52E0"/>
    <w:rsid w:val="08FA4D8D"/>
    <w:rsid w:val="0F7F4595"/>
    <w:rsid w:val="13AC739A"/>
    <w:rsid w:val="17C254F9"/>
    <w:rsid w:val="199238BC"/>
    <w:rsid w:val="1AC147DC"/>
    <w:rsid w:val="1B532AED"/>
    <w:rsid w:val="1C744D56"/>
    <w:rsid w:val="2F0A6EA9"/>
    <w:rsid w:val="31C17DBC"/>
    <w:rsid w:val="44004F9E"/>
    <w:rsid w:val="441669CB"/>
    <w:rsid w:val="4DCC3937"/>
    <w:rsid w:val="53065A67"/>
    <w:rsid w:val="56A60580"/>
    <w:rsid w:val="574009E5"/>
    <w:rsid w:val="58B33945"/>
    <w:rsid w:val="634C7460"/>
    <w:rsid w:val="672D1BAE"/>
    <w:rsid w:val="6B2B534D"/>
    <w:rsid w:val="6B76271E"/>
    <w:rsid w:val="6C83474C"/>
    <w:rsid w:val="749A05DB"/>
    <w:rsid w:val="78462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autoRedefine/>
    <w:qFormat/>
    <w:uiPriority w:val="9"/>
    <w:pPr>
      <w:keepNext/>
      <w:keepLines/>
      <w:spacing w:before="100" w:after="90" w:line="578" w:lineRule="auto"/>
      <w:jc w:val="center"/>
      <w:outlineLvl w:val="0"/>
    </w:pPr>
    <w:rPr>
      <w:rFonts w:eastAsia="方正小标宋简体"/>
      <w:b/>
      <w:bCs/>
      <w:kern w:val="44"/>
      <w:sz w:val="36"/>
      <w:szCs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1"/>
    <w:autoRedefine/>
    <w:semiHidden/>
    <w:unhideWhenUsed/>
    <w:qFormat/>
    <w:uiPriority w:val="99"/>
    <w:rPr>
      <w:sz w:val="18"/>
      <w:szCs w:val="18"/>
    </w:rPr>
  </w:style>
  <w:style w:type="paragraph" w:styleId="4">
    <w:name w:val="footer"/>
    <w:basedOn w:val="1"/>
    <w:link w:val="9"/>
    <w:autoRedefine/>
    <w:unhideWhenUsed/>
    <w:qFormat/>
    <w:uiPriority w:val="99"/>
    <w:pPr>
      <w:tabs>
        <w:tab w:val="center" w:pos="4153"/>
        <w:tab w:val="right" w:pos="8306"/>
      </w:tabs>
      <w:snapToGrid w:val="0"/>
      <w:jc w:val="left"/>
    </w:pPr>
    <w:rPr>
      <w:sz w:val="18"/>
      <w:szCs w:val="18"/>
    </w:rPr>
  </w:style>
  <w:style w:type="paragraph" w:styleId="5">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autoRedefine/>
    <w:qFormat/>
    <w:uiPriority w:val="99"/>
    <w:rPr>
      <w:sz w:val="18"/>
      <w:szCs w:val="18"/>
    </w:rPr>
  </w:style>
  <w:style w:type="character" w:customStyle="1" w:styleId="9">
    <w:name w:val="页脚 Char"/>
    <w:basedOn w:val="7"/>
    <w:link w:val="4"/>
    <w:autoRedefine/>
    <w:qFormat/>
    <w:uiPriority w:val="99"/>
    <w:rPr>
      <w:sz w:val="18"/>
      <w:szCs w:val="18"/>
    </w:rPr>
  </w:style>
  <w:style w:type="character" w:customStyle="1" w:styleId="10">
    <w:name w:val="标题 1 Char"/>
    <w:basedOn w:val="7"/>
    <w:link w:val="2"/>
    <w:autoRedefine/>
    <w:qFormat/>
    <w:uiPriority w:val="9"/>
    <w:rPr>
      <w:rFonts w:eastAsia="方正小标宋简体"/>
      <w:b/>
      <w:bCs/>
      <w:kern w:val="44"/>
      <w:sz w:val="36"/>
      <w:szCs w:val="44"/>
    </w:rPr>
  </w:style>
  <w:style w:type="character" w:customStyle="1" w:styleId="11">
    <w:name w:val="批注框文本 Char"/>
    <w:basedOn w:val="7"/>
    <w:link w:val="3"/>
    <w:autoRedefine/>
    <w:semiHidden/>
    <w:qFormat/>
    <w:uiPriority w:val="99"/>
    <w:rPr>
      <w:sz w:val="18"/>
      <w:szCs w:val="18"/>
    </w:rPr>
  </w:style>
  <w:style w:type="paragraph" w:customStyle="1" w:styleId="12">
    <w:name w:val="表格标题"/>
    <w:basedOn w:val="1"/>
    <w:autoRedefine/>
    <w:qFormat/>
    <w:uiPriority w:val="0"/>
    <w:pPr>
      <w:spacing w:line="288" w:lineRule="auto"/>
      <w:jc w:val="center"/>
    </w:pPr>
    <w:rPr>
      <w:rFonts w:ascii="宋体" w:hAnsi="宋体" w:cs="Arial"/>
      <w:kern w:val="0"/>
      <w:szCs w:val="20"/>
    </w:rPr>
  </w:style>
  <w:style w:type="character" w:customStyle="1" w:styleId="13">
    <w:name w:val="font21"/>
    <w:basedOn w:val="7"/>
    <w:autoRedefine/>
    <w:qFormat/>
    <w:uiPriority w:val="0"/>
    <w:rPr>
      <w:rFonts w:hint="eastAsia" w:ascii="宋体" w:hAnsi="宋体" w:eastAsia="宋体" w:cs="宋体"/>
      <w:color w:val="000000"/>
      <w:sz w:val="18"/>
      <w:szCs w:val="18"/>
      <w:u w:val="none"/>
    </w:rPr>
  </w:style>
  <w:style w:type="character" w:customStyle="1" w:styleId="14">
    <w:name w:val="font11"/>
    <w:basedOn w:val="7"/>
    <w:autoRedefine/>
    <w:qFormat/>
    <w:uiPriority w:val="0"/>
    <w:rPr>
      <w:rFonts w:hint="eastAsia" w:ascii="宋体" w:hAnsi="宋体" w:eastAsia="宋体" w:cs="宋体"/>
      <w:color w:val="000000"/>
      <w:sz w:val="18"/>
      <w:szCs w:val="18"/>
      <w:u w:val="none"/>
    </w:rPr>
  </w:style>
  <w:style w:type="character" w:customStyle="1" w:styleId="15">
    <w:name w:val="font41"/>
    <w:basedOn w:val="7"/>
    <w:autoRedefine/>
    <w:qFormat/>
    <w:uiPriority w:val="0"/>
    <w:rPr>
      <w:rFonts w:hint="eastAsia" w:ascii="宋体" w:hAnsi="宋体" w:eastAsia="宋体" w:cs="宋体"/>
      <w:color w:val="000000"/>
      <w:sz w:val="21"/>
      <w:szCs w:val="21"/>
      <w:u w:val="none"/>
    </w:rPr>
  </w:style>
  <w:style w:type="character" w:customStyle="1" w:styleId="16">
    <w:name w:val="font51"/>
    <w:basedOn w:val="7"/>
    <w:autoRedefine/>
    <w:qFormat/>
    <w:uiPriority w:val="0"/>
    <w:rPr>
      <w:rFonts w:hint="eastAsia" w:ascii="宋体" w:hAnsi="宋体" w:eastAsia="宋体" w:cs="宋体"/>
      <w:color w:val="000000"/>
      <w:sz w:val="17"/>
      <w:szCs w:val="17"/>
      <w:u w:val="none"/>
    </w:rPr>
  </w:style>
  <w:style w:type="character" w:customStyle="1" w:styleId="17">
    <w:name w:val="font61"/>
    <w:basedOn w:val="7"/>
    <w:autoRedefine/>
    <w:qFormat/>
    <w:uiPriority w:val="0"/>
    <w:rPr>
      <w:rFonts w:hint="eastAsia" w:ascii="宋体" w:hAnsi="宋体" w:eastAsia="宋体" w:cs="宋体"/>
      <w:color w:val="000000"/>
      <w:sz w:val="22"/>
      <w:szCs w:val="22"/>
      <w:u w:val="none"/>
    </w:rPr>
  </w:style>
  <w:style w:type="character" w:customStyle="1" w:styleId="18">
    <w:name w:val="font31"/>
    <w:basedOn w:val="7"/>
    <w:autoRedefine/>
    <w:qFormat/>
    <w:uiPriority w:val="0"/>
    <w:rPr>
      <w:rFonts w:hint="eastAsia" w:ascii="宋体" w:hAnsi="宋体" w:eastAsia="宋体" w:cs="宋体"/>
      <w:color w:val="000000"/>
      <w:sz w:val="18"/>
      <w:szCs w:val="18"/>
      <w:u w:val="none"/>
    </w:rPr>
  </w:style>
  <w:style w:type="character" w:customStyle="1" w:styleId="19">
    <w:name w:val="font71"/>
    <w:basedOn w:val="7"/>
    <w:autoRedefine/>
    <w:qFormat/>
    <w:uiPriority w:val="0"/>
    <w:rPr>
      <w:rFonts w:ascii="Calibri" w:hAnsi="Calibri" w:cs="Calibri"/>
      <w:color w:val="000000"/>
      <w:sz w:val="18"/>
      <w:szCs w:val="18"/>
      <w:u w:val="none"/>
    </w:rPr>
  </w:style>
  <w:style w:type="table" w:customStyle="1" w:styleId="20">
    <w:name w:val="myTable"/>
    <w:autoRedefine/>
    <w:qFormat/>
    <w:uiPriority w:val="99"/>
    <w:tblPr>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
    <w:trPr>
      <w:jc w:val="center"/>
    </w:t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6634</Words>
  <Characters>6802</Characters>
  <Lines>7</Lines>
  <Paragraphs>2</Paragraphs>
  <TotalTime>0</TotalTime>
  <ScaleCrop>false</ScaleCrop>
  <LinksUpToDate>false</LinksUpToDate>
  <CharactersWithSpaces>6811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2020-07-04T03:38:00Z</dcterms:created>
  <dc:creator>Administrator</dc:creator>
  <cp:lastModifiedBy>达灵</cp:lastModifiedBy>
  <cp:lastPrinted>2021-04-23T06:35:00Z</cp:lastPrinted>
  <dcterms:modified xsi:type="dcterms:W3CDTF">2025-02-18T07:52:06Z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759CF7D2DC0B40C58253E538A6CBDCFF_13</vt:lpwstr>
  </property>
  <property fmtid="{D5CDD505-2E9C-101B-9397-08002B2CF9AE}" pid="4" name="KSOTemplateDocerSaveRecord">
    <vt:lpwstr>eyJoZGlkIjoiNjhlYmVjYzg3YzM0YjExMDY3YWUwMjU5NGYzYTg5NDgiLCJ1c2VySWQiOiIzMTQ5NzE1NDUifQ==</vt:lpwstr>
  </property>
</Properties>
</file>